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Приложение N 6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right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к приказу от 25.12.2025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№ 211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Положение о комиссии по поступлению и выбытию активов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1. Общие положения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0" w:right="0"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Комиссия в своей работе руководствуется: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pStyle w:val="871"/>
        <w:numPr>
          <w:ilvl w:val="0"/>
          <w:numId w:val="3"/>
        </w:numPr>
        <w:ind w:right="0"/>
        <w:jc w:val="both"/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hyperlink r:id="rId9" w:tooltip="https://gosfinansy.ru/group?groupId=397156&amp;locale=ru&amp;date=2026-01-01&amp;isStatic=false&amp;pubAlias=mcfr-gf" w:history="1">
        <w:r>
          <w:rPr>
            <w:rStyle w:val="870"/>
            <w:rFonts w:ascii="Times New Roman" w:hAnsi="Times New Roman" w:eastAsia="Times New Roman" w:cs="Times New Roman"/>
            <w:color w:val="000000" w:themeColor="text1"/>
            <w:sz w:val="28"/>
            <w:szCs w:val="28"/>
            <w:u w:val="none"/>
          </w:rPr>
          <w:t xml:space="preserve">Законом от 06.12.2011 № 402-ФЗ «О бухгалтерском учете»</w:t>
        </w:r>
      </w:hyperlink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pStyle w:val="871"/>
        <w:numPr>
          <w:ilvl w:val="0"/>
          <w:numId w:val="3"/>
        </w:numPr>
        <w:ind w:right="0"/>
        <w:jc w:val="both"/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Федеральным стандартом «Единый план счетов бухгалтерского учета государственных финансов», утвержденным </w:t>
      </w:r>
      <w:hyperlink r:id="rId10" w:tooltip="https://gosfinansy.ru/group?groupId=124650923&amp;locale=ru&amp;date=2026-01-01&amp;isStatic=false&amp;pubAlias=mcfr-gf" w:history="1">
        <w:r>
          <w:rPr>
            <w:rStyle w:val="870"/>
            <w:rFonts w:ascii="Times New Roman" w:hAnsi="Times New Roman" w:eastAsia="Times New Roman" w:cs="Times New Roman"/>
            <w:color w:val="000000" w:themeColor="text1"/>
            <w:sz w:val="28"/>
            <w:szCs w:val="28"/>
            <w:u w:val="none"/>
          </w:rPr>
          <w:t xml:space="preserve">приказом Минфина от 30.08.2024 № 121н</w:t>
        </w:r>
      </w:hyperlink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pStyle w:val="871"/>
        <w:numPr>
          <w:ilvl w:val="0"/>
          <w:numId w:val="3"/>
        </w:numPr>
        <w:ind w:right="0"/>
        <w:jc w:val="both"/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Общероссийским классификатором основных фондов ОК 013-2014 (СНС 2008), утвержденным </w:t>
      </w:r>
      <w:hyperlink r:id="rId11" w:tooltip="https://gosfinansy.ru/group?groupId=6931989&amp;locale=ru&amp;date=2026-01-01&amp;isStatic=false&amp;pubAlias=mcfr-gf" w:history="1">
        <w:r>
          <w:rPr>
            <w:rStyle w:val="870"/>
            <w:rFonts w:ascii="Times New Roman" w:hAnsi="Times New Roman" w:eastAsia="Times New Roman" w:cs="Times New Roman"/>
            <w:color w:val="000000" w:themeColor="text1"/>
            <w:sz w:val="28"/>
            <w:szCs w:val="28"/>
            <w:u w:val="none"/>
          </w:rPr>
          <w:t xml:space="preserve">приказом Росстандарта от 12.12.2014 № 2018-ст</w:t>
        </w:r>
      </w:hyperlink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 (далее – ОКОФ);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pStyle w:val="871"/>
        <w:numPr>
          <w:ilvl w:val="0"/>
          <w:numId w:val="3"/>
        </w:numPr>
        <w:ind w:right="0"/>
        <w:jc w:val="both"/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hyperlink r:id="rId12" w:tooltip="https://gosfinansy.ru/group?groupId=151&amp;locale=ru&amp;date=2026-01-01&amp;isStatic=false&amp;pubAlias=mcfr-gf" w:history="1">
        <w:r>
          <w:rPr>
            <w:rStyle w:val="870"/>
            <w:rFonts w:ascii="Times New Roman" w:hAnsi="Times New Roman" w:eastAsia="Times New Roman" w:cs="Times New Roman"/>
            <w:color w:val="000000" w:themeColor="text1"/>
            <w:sz w:val="28"/>
            <w:szCs w:val="28"/>
            <w:u w:val="none"/>
          </w:rPr>
          <w:t xml:space="preserve">постановлением Правительства от 01.01.2002 № 1 «О Классификации основных средств, включаемых в амортизационные группы»</w:t>
        </w:r>
      </w:hyperlink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 (далее – Постановление № 1);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pStyle w:val="871"/>
        <w:numPr>
          <w:ilvl w:val="0"/>
          <w:numId w:val="3"/>
        </w:numPr>
        <w:ind w:right="0"/>
        <w:jc w:val="both"/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Федеральным стандартом «Основные средства», утвержденным </w:t>
      </w:r>
      <w:hyperlink r:id="rId13" w:tooltip="https://gosfinansy.ru/group?groupId=21634950&amp;locale=ru&amp;date=2026-01-01&amp;isStatic=false&amp;anchor=ZAP2GLA3KC&amp;pubAlias=mcfr-gf" w:history="1">
        <w:r>
          <w:rPr>
            <w:rStyle w:val="870"/>
            <w:rFonts w:ascii="Times New Roman" w:hAnsi="Times New Roman" w:eastAsia="Times New Roman" w:cs="Times New Roman"/>
            <w:color w:val="000000" w:themeColor="text1"/>
            <w:sz w:val="28"/>
            <w:szCs w:val="28"/>
            <w:u w:val="none"/>
          </w:rPr>
          <w:t xml:space="preserve">приказом Минфина от 31.12.2016 № 257н</w:t>
        </w:r>
      </w:hyperlink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pStyle w:val="871"/>
        <w:numPr>
          <w:ilvl w:val="0"/>
          <w:numId w:val="3"/>
        </w:numPr>
        <w:ind w:right="0"/>
        <w:jc w:val="both"/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Федеральным стандартом «Концептуальные основы бухгалтерского учета и отчетности организаций государственного сектора», утвержденным </w:t>
      </w:r>
      <w:hyperlink r:id="rId14" w:tooltip="https://gosfinansy.ru/group?groupId=21360420&amp;locale=ru&amp;date=2026-01-01&amp;isStatic=false&amp;anchor=XA00MCS2N3&amp;pubAlias=mcfr-gf" w:history="1">
        <w:r>
          <w:rPr>
            <w:rStyle w:val="870"/>
            <w:rFonts w:ascii="Times New Roman" w:hAnsi="Times New Roman" w:eastAsia="Times New Roman" w:cs="Times New Roman"/>
            <w:color w:val="000000" w:themeColor="text1"/>
            <w:sz w:val="28"/>
            <w:szCs w:val="28"/>
            <w:u w:val="none"/>
          </w:rPr>
          <w:t xml:space="preserve">приказом Минфина от 31.12.2016 № 256н</w:t>
        </w:r>
      </w:hyperlink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pStyle w:val="871"/>
        <w:numPr>
          <w:ilvl w:val="0"/>
          <w:numId w:val="3"/>
        </w:numPr>
        <w:ind w:right="0"/>
        <w:jc w:val="both"/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Федеральным стандартом «Обесценение активов», утвержденным </w:t>
      </w:r>
      <w:hyperlink r:id="rId15" w:tooltip="https://gosfinansy.ru/group?groupId=21360419&amp;locale=ru&amp;date=2026-01-01&amp;isStatic=false&amp;pubAlias=mcfr-gf" w:history="1">
        <w:r>
          <w:rPr>
            <w:rStyle w:val="870"/>
            <w:rFonts w:ascii="Times New Roman" w:hAnsi="Times New Roman" w:eastAsia="Times New Roman" w:cs="Times New Roman"/>
            <w:color w:val="000000" w:themeColor="text1"/>
            <w:sz w:val="28"/>
            <w:szCs w:val="28"/>
            <w:u w:val="none"/>
          </w:rPr>
          <w:t xml:space="preserve">приказом Минфина от 31.12.2016 № 259н</w:t>
        </w:r>
      </w:hyperlink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pStyle w:val="871"/>
        <w:numPr>
          <w:ilvl w:val="0"/>
          <w:numId w:val="3"/>
        </w:numPr>
        <w:ind w:right="0"/>
        <w:jc w:val="both"/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Федеральным стандартом «Доходы», утвержденным </w:t>
      </w:r>
      <w:hyperlink r:id="rId16" w:tooltip="https://gosfinansy.ru/group?groupId=35263741&amp;locale=ru&amp;date=2026-01-01&amp;isStatic=false&amp;pubAlias=mcfr-gf" w:history="1">
        <w:r>
          <w:rPr>
            <w:rStyle w:val="870"/>
            <w:rFonts w:ascii="Times New Roman" w:hAnsi="Times New Roman" w:eastAsia="Times New Roman" w:cs="Times New Roman"/>
            <w:color w:val="000000" w:themeColor="text1"/>
            <w:sz w:val="28"/>
            <w:szCs w:val="28"/>
            <w:u w:val="none"/>
          </w:rPr>
          <w:t xml:space="preserve">приказом Минфина от 27.02.2018 № 32н</w:t>
        </w:r>
      </w:hyperlink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pStyle w:val="871"/>
        <w:numPr>
          <w:ilvl w:val="0"/>
          <w:numId w:val="3"/>
        </w:numPr>
        <w:ind w:right="0"/>
        <w:jc w:val="both"/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Федеральным стандартом «Запасы», утвержденным </w:t>
      </w:r>
      <w:hyperlink r:id="rId17" w:tooltip="https://gosfinansy.ru/group?groupId=48930419&amp;locale=ru&amp;date=2026-01-01&amp;isStatic=false&amp;pubAlias=mcfr-gf" w:history="1">
        <w:r>
          <w:rPr>
            <w:rStyle w:val="870"/>
            <w:rFonts w:ascii="Times New Roman" w:hAnsi="Times New Roman" w:eastAsia="Times New Roman" w:cs="Times New Roman"/>
            <w:color w:val="000000" w:themeColor="text1"/>
            <w:sz w:val="28"/>
            <w:szCs w:val="28"/>
            <w:u w:val="none"/>
          </w:rPr>
          <w:t xml:space="preserve">приказом Минфина от 07.12.2018 № 256н</w:t>
        </w:r>
      </w:hyperlink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pStyle w:val="871"/>
        <w:numPr>
          <w:ilvl w:val="0"/>
          <w:numId w:val="3"/>
        </w:numPr>
        <w:ind w:right="0"/>
        <w:jc w:val="both"/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Федеральным стандартом «Нематериальные активы», утвержденным </w:t>
      </w:r>
      <w:hyperlink r:id="rId18" w:tooltip="https://gosfinansy.ru/group?groupId=62536488&amp;locale=ru&amp;date=2026-01-01&amp;isStatic=false&amp;pubAlias=mcfr-gf" w:history="1">
        <w:r>
          <w:rPr>
            <w:rStyle w:val="870"/>
            <w:rFonts w:ascii="Times New Roman" w:hAnsi="Times New Roman" w:eastAsia="Times New Roman" w:cs="Times New Roman"/>
            <w:color w:val="000000" w:themeColor="text1"/>
            <w:sz w:val="28"/>
            <w:szCs w:val="28"/>
            <w:u w:val="none"/>
          </w:rPr>
          <w:t xml:space="preserve">приказом Минфина от 15.11.2019 № 181н</w:t>
        </w:r>
      </w:hyperlink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pStyle w:val="871"/>
        <w:numPr>
          <w:ilvl w:val="0"/>
          <w:numId w:val="3"/>
        </w:numPr>
        <w:ind w:right="0"/>
        <w:jc w:val="both"/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Федеральным стандартом «Непроизведенные активы», утвержденным </w:t>
      </w:r>
      <w:hyperlink r:id="rId19" w:tooltip="https://gosfinansy.ru/group?groupId=35263427&amp;locale=ru&amp;date=2026-01-01&amp;isStatic=false&amp;pubAlias=mcfr-gf" w:history="1">
        <w:r>
          <w:rPr>
            <w:rStyle w:val="870"/>
            <w:rFonts w:ascii="Times New Roman" w:hAnsi="Times New Roman" w:eastAsia="Times New Roman" w:cs="Times New Roman"/>
            <w:color w:val="000000" w:themeColor="text1"/>
            <w:sz w:val="28"/>
            <w:szCs w:val="28"/>
            <w:u w:val="none"/>
          </w:rPr>
          <w:t xml:space="preserve">приказом Минфина от 28.02.2018 № 34н</w:t>
        </w:r>
      </w:hyperlink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pStyle w:val="871"/>
        <w:numPr>
          <w:ilvl w:val="0"/>
          <w:numId w:val="3"/>
        </w:numPr>
        <w:ind w:right="0"/>
        <w:jc w:val="both"/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hyperlink r:id="rId20" w:tooltip="https://gosfinansy.ru/group?groupId=4592793&amp;locale=ru&amp;date=2026-01-01&amp;isStatic=false&amp;pubAlias=mcfr-gf" w:history="1">
        <w:r>
          <w:rPr>
            <w:rStyle w:val="870"/>
            <w:rFonts w:ascii="Times New Roman" w:hAnsi="Times New Roman" w:eastAsia="Times New Roman" w:cs="Times New Roman"/>
            <w:color w:val="000000" w:themeColor="text1"/>
            <w:sz w:val="28"/>
            <w:szCs w:val="28"/>
            <w:u w:val="none"/>
          </w:rPr>
          <w:t xml:space="preserve">приказом Минфина от 30.03.2015 № 52н</w:t>
        </w:r>
      </w:hyperlink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 «Об утверждении форм первичных учетных документов и регистров бухгалтерского учета, применяемых органами государственной власти (государственными органами), органами местного самоуправления, органами управления государственными внебюджетными фондами, госу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дарственными (муниципальными) учреждениями, и Методических указаний по их применению» (далее – Приказ № 52н);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pStyle w:val="871"/>
        <w:numPr>
          <w:ilvl w:val="0"/>
          <w:numId w:val="3"/>
        </w:numPr>
        <w:ind w:right="0"/>
        <w:jc w:val="both"/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hyperlink r:id="rId21" w:tooltip="https://gosfinansy.ru/group?groupId=82175180&amp;locale=ru&amp;date=2026-01-01&amp;isStatic=false&amp;pubAlias=mcfr-gf" w:history="1">
        <w:r>
          <w:rPr>
            <w:rStyle w:val="870"/>
            <w:rFonts w:ascii="Times New Roman" w:hAnsi="Times New Roman" w:eastAsia="Times New Roman" w:cs="Times New Roman"/>
            <w:color w:val="000000" w:themeColor="text1"/>
            <w:sz w:val="28"/>
            <w:szCs w:val="28"/>
            <w:u w:val="none"/>
          </w:rPr>
          <w:t xml:space="preserve">приказом Минфина от 15.04.2021 № 61н</w:t>
        </w:r>
      </w:hyperlink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 «Об утверждении унифицированных форм электронных документов бухгалтерского учета, применяемых при ведении бюджетного учета, бухгалтерского учета государственных (муниципальных) учреждений, и Методических указаний по их формированию и применению» (далее –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Приказ № 61н);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pStyle w:val="871"/>
        <w:numPr>
          <w:ilvl w:val="0"/>
          <w:numId w:val="3"/>
        </w:numPr>
        <w:ind w:right="0"/>
        <w:jc w:val="both"/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иными нормативными правовыми актами, регламентирующими порядок списания, передачи, реализации основных средств, нематериальных активов, материальных запасов.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ind w:left="0" w:right="0" w:firstLine="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br/>
      </w: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</w:rPr>
        <w:t xml:space="preserve">2</w:t>
      </w:r>
      <w:r>
        <w:rPr>
          <w:rFonts w:ascii="Times New Roman" w:hAnsi="Times New Roman" w:eastAsia="Times New Roman" w:cs="Times New Roman"/>
          <w:b/>
          <w:bCs/>
          <w:color w:val="222222"/>
          <w:sz w:val="28"/>
          <w:szCs w:val="28"/>
        </w:rPr>
        <w:t xml:space="preserve">. Организация работы Комиссии</w:t>
      </w: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r>
    </w:p>
    <w:p>
      <w:pPr>
        <w:ind w:left="0" w:right="0" w:firstLine="0"/>
        <w:jc w:val="both"/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222222"/>
          <w:sz w:val="28"/>
          <w:szCs w:val="28"/>
        </w:rPr>
        <w:t xml:space="preserve">2.1. Комиссия по поступлению и выбытию активов состоит из 4 (четырех) человек. Персональный состав Комиссии ежегодно утверждается приказом руководителя учреждения.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0" w:right="0" w:firstLine="0"/>
        <w:jc w:val="both"/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222222"/>
          <w:sz w:val="28"/>
          <w:szCs w:val="28"/>
        </w:rPr>
        <w:t xml:space="preserve">2.2. Комиссию возглавляет председатель, который осуществляет общее руководство деятельностью Комиссии, обеспечивает коллегиальность в обсуждении спорных вопросов, распределяет обязанности и дает поручения членам Комиссии.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0" w:right="0" w:firstLine="0"/>
        <w:jc w:val="both"/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222222"/>
          <w:sz w:val="28"/>
          <w:szCs w:val="28"/>
        </w:rPr>
        <w:t xml:space="preserve">2.3. При отсутствии работников учреждения, обладающих специальными знаниями, для участия в заседаниях комиссии могут приглашаться эксперты. Экспертом не может быть ответственное лицо учреждения, на которое возложена ответственность за материальные ценности</w:t>
      </w:r>
      <w:r>
        <w:rPr>
          <w:rFonts w:ascii="Times New Roman" w:hAnsi="Times New Roman" w:eastAsia="Times New Roman" w:cs="Times New Roman"/>
          <w:color w:val="222222"/>
          <w:sz w:val="28"/>
          <w:szCs w:val="28"/>
        </w:rPr>
        <w:t xml:space="preserve">, в отношении которых принимается решение о списании.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0" w:right="0" w:firstLine="0"/>
        <w:jc w:val="both"/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222222"/>
          <w:sz w:val="28"/>
          <w:szCs w:val="28"/>
        </w:rPr>
        <w:t xml:space="preserve">2.4. Комиссия проводит заседания по мере необходимости.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0" w:right="0" w:firstLine="0"/>
        <w:jc w:val="both"/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222222"/>
          <w:sz w:val="28"/>
          <w:szCs w:val="28"/>
        </w:rPr>
        <w:t xml:space="preserve">2.5. Срок рассмотрения Комиссией представленных ей документов не должен превышать 14 рабочих дней.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0" w:right="0" w:firstLine="0"/>
        <w:jc w:val="both"/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222222"/>
          <w:sz w:val="28"/>
          <w:szCs w:val="28"/>
        </w:rPr>
        <w:t xml:space="preserve">2.6. Решение комиссии принимается открытым голосованием – не менее 2/3 общего числа голосов членов Комиссии.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0" w:right="0" w:firstLine="0"/>
        <w:jc w:val="both"/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222222"/>
          <w:sz w:val="28"/>
          <w:szCs w:val="28"/>
        </w:rPr>
        <w:t xml:space="preserve">Решения Комиссии считаются правомочными, если на заседании присутствует не менее 2/3 от общего числа ее членов.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0" w:right="0" w:firstLine="0"/>
        <w:jc w:val="both"/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222222"/>
          <w:sz w:val="28"/>
          <w:szCs w:val="28"/>
        </w:rPr>
        <w:t xml:space="preserve">2.7. Председатель имеет право решающего голоса при принятии решений Комиссией.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0" w:right="0" w:firstLine="0"/>
        <w:jc w:val="both"/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222222"/>
          <w:sz w:val="28"/>
          <w:szCs w:val="28"/>
        </w:rPr>
        <w:t xml:space="preserve">2.8. Решение Комиссии оформляется протоколом, который подписывают председатель и члены комиссии, присутствующие на заседании. 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0" w:right="0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br/>
      </w:r>
      <w:r>
        <w:rPr>
          <w:rFonts w:ascii="Times New Roman" w:hAnsi="Times New Roman" w:eastAsia="Times New Roman" w:cs="Times New Roman"/>
          <w:b/>
          <w:color w:val="000000" w:themeColor="text1"/>
          <w:sz w:val="28"/>
          <w:szCs w:val="28"/>
        </w:rPr>
        <w:t xml:space="preserve">3. Функции Комиссии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ind w:left="0" w:righ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3.1. Комиссия принимает решения по следующим вопросам: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ind w:left="0" w:righ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3.1.1. выявление при приемке товаров ненадлежащего качества;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ind w:left="0" w:righ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3.1.2. определение, какое имущество в учреждении считается активом, то есть приносит экономическую выгоду или имеет полезный потенциал;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ind w:left="0" w:righ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3.1.3. отнесение категории поступающего имущества: основное средство, нематериальные активы, непроизведенные активы или материальные запасы;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ind w:left="0" w:righ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3.1.4.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определение признаков отнесения к особо ценному движимому имуществу;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ind w:left="0" w:righ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3.1.5. определение группы аналитического учета активов и кодов по ОКОФ;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ind w:left="0" w:righ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3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.1.6. определение срока полезного использования основных средств и нематериальных активов и способа начисления амортизации;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ind w:left="0" w:righ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3.1.7. определение первоначальной (фактической) стоимости поступающих к учету основных средств, нематериальных активов, материальных запасов;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ind w:left="0" w:righ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3.1.8. изменение стоимости основных средств и срока их полезного использования в случаях изменения первоначально принятых нормативных показателей функционирования объекта основных средств, в том числе в результате проведенной достройки, дооборудования, рек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онструкции или модернизации;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ind w:left="0" w:righ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3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.1.9. установление правил объединения объектов с несущественной стоимостью в единый комплекс;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ind w:left="0" w:righ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3.1.10. изъятие и передача материально ответственному лицу из списываемых основных средств пригодных узлов, деталей, конструкций и материалов, драгоценных металлов и камней, цветных металлов и постановка их на учет;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ind w:left="0" w:righ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3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.1.11. определение справедливой стоимости объектов нефинансовых активов, выявленных при инвентаризации в виде излишков, ущербов, а также полученных безвозмездно от юридических или физических лиц;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ind w:left="0" w:righ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3.1.12. определение признаков обесценения активов;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ind w:left="0" w:righ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3.1.13. принятие к учету поступивших основных средств, нематериальных активов с оформлением соответствующих первичных учетных документов, в том числе объектов движимого имущества стоимостью до 10 000 руб. включительно, учитываемых на забалансовом учете;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ind w:left="0" w:righ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3.1.14. определение целесообразности (пригодности) дальнейшего использования основных средств и нематериальных активов, возможности и эффективности их восстановления;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ind w:left="0" w:righ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3.1.15. списание (выбытие) основных средств, нематериальных активов, непроизведенных активов в установленном порядке, в том числе объектов движимого имущества стоимостью до 10 000 руб. включительно, учитываемых на забалансовом учете;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ind w:left="0" w:righ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3.1.16. определение возможности использовать отдельные узлы, детали, конструкции и материалы от выбывающих основных средств и их первоначальной стоимости;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ind w:left="0" w:righ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3.1.17. списание (выбытие) материальных запасов, за исключением выбытия в результате их потребления на нужды учреждения, с оформлением соответствующих первичных учетных документов;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ind w:left="0" w:righ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3.1.18. осуществление сверок с дебиторами с целью принятия решения о списании дебиторской задолженности;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ind w:left="0" w:righ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3.1.19. списание с балансового учета учреждения задолженности неплатежеспособных дебиторов, а также списание с забалансового учета задолженности, признанной безнадежной к взысканию (в случае наличия документов, подтверждающих прекращение обязательства смер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тью (ликвидацией) дебитора, а также в иных случаях, предусмотренных законодательством РФ);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ind w:left="0" w:righ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3.1.20. признание дебиторской задолженности безнадежной для взыскания в целях списания с балансового и забалансового учета;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ind w:left="0" w:righ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3.1.21. участие в передаче материальных ценностей при смене материально-ответственных лиц;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ind w:left="0" w:righ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3.1.22. контроль за нанесением инвентарных номеров материально ответственными лицами на соответствующих объектах основных средств.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ind w:left="0" w:righ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3.2. Уполномоченный член комиссии оформляет первичные учетные документы: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pStyle w:val="871"/>
        <w:numPr>
          <w:ilvl w:val="0"/>
          <w:numId w:val="4"/>
        </w:numPr>
        <w:ind w:right="0"/>
        <w:jc w:val="both"/>
        <w:spacing w:before="0" w:after="0"/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t xml:space="preserve">Р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t xml:space="preserve">ешение о признании объектов нефинансовых активов (</w:t>
      </w:r>
      <w:hyperlink r:id="rId22" w:tooltip="https://gosfinansy.ru/group?groupId=89950248&amp;locale=ru&amp;date=2026-01-01&amp;isStatic=false&amp;pubAlias=mcfr-gf" w:history="1">
        <w:r>
          <w:rPr>
            <w:rStyle w:val="870"/>
            <w:rFonts w:ascii="Times New Roman" w:hAnsi="Times New Roman" w:eastAsia="Times New Roman" w:cs="Times New Roman"/>
            <w:b w:val="0"/>
            <w:bCs w:val="0"/>
            <w:color w:val="000000" w:themeColor="text1"/>
            <w:sz w:val="28"/>
            <w:szCs w:val="28"/>
            <w:highlight w:val="white"/>
            <w:u w:val="none"/>
          </w:rPr>
          <w:t xml:space="preserve">ф. 0510441</w:t>
        </w:r>
      </w:hyperlink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t xml:space="preserve">);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highlight w:val="white"/>
        </w:rPr>
      </w:r>
    </w:p>
    <w:p>
      <w:pPr>
        <w:pStyle w:val="871"/>
        <w:numPr>
          <w:ilvl w:val="0"/>
          <w:numId w:val="4"/>
        </w:numPr>
        <w:ind w:right="0"/>
        <w:jc w:val="both"/>
        <w:spacing w:before="0" w:after="0"/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t xml:space="preserve">Решение о прекращении признания активами НФА (</w:t>
      </w:r>
      <w:hyperlink r:id="rId23" w:tooltip="https://gosfinansy.ru/group?groupId=84649983&amp;locale=ru&amp;date=2026-01-01&amp;isStatic=false&amp;pubAlias=mcfr-gf" w:history="1">
        <w:r>
          <w:rPr>
            <w:rStyle w:val="870"/>
            <w:rFonts w:ascii="Times New Roman" w:hAnsi="Times New Roman" w:eastAsia="Times New Roman" w:cs="Times New Roman"/>
            <w:b w:val="0"/>
            <w:bCs w:val="0"/>
            <w:color w:val="000000" w:themeColor="text1"/>
            <w:sz w:val="28"/>
            <w:szCs w:val="28"/>
            <w:highlight w:val="white"/>
            <w:u w:val="none"/>
          </w:rPr>
          <w:t xml:space="preserve">ф. 0510440</w:t>
        </w:r>
      </w:hyperlink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t xml:space="preserve">);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highlight w:val="white"/>
        </w:rPr>
      </w:r>
    </w:p>
    <w:p>
      <w:pPr>
        <w:pStyle w:val="871"/>
        <w:numPr>
          <w:ilvl w:val="0"/>
          <w:numId w:val="16"/>
        </w:numPr>
        <w:ind w:right="0"/>
        <w:jc w:val="both"/>
        <w:spacing w:before="0" w:after="0"/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t xml:space="preserve">Решение о прекращении признания активами (ф. 0510440)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none"/>
        </w:rPr>
        <w:t xml:space="preserve">;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highlight w:val="white"/>
        </w:rPr>
      </w:r>
    </w:p>
    <w:p>
      <w:pPr>
        <w:pStyle w:val="871"/>
        <w:numPr>
          <w:ilvl w:val="0"/>
          <w:numId w:val="16"/>
        </w:numPr>
        <w:ind w:right="0"/>
        <w:jc w:val="both"/>
        <w:spacing w:before="0" w:after="0"/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t xml:space="preserve">Решение об оценке стоимости отчуждаемого имущества (</w:t>
      </w:r>
      <w:hyperlink r:id="rId24" w:tooltip="https://gosfinansy.ru/group?groupId=84649984&amp;locale=ru&amp;date=2026-01-01&amp;isStatic=false&amp;pubAlias=mcfr-gf" w:history="1">
        <w:r>
          <w:rPr>
            <w:rStyle w:val="870"/>
            <w:rFonts w:ascii="Times New Roman" w:hAnsi="Times New Roman" w:eastAsia="Times New Roman" w:cs="Times New Roman"/>
            <w:b w:val="0"/>
            <w:bCs w:val="0"/>
            <w:color w:val="000000" w:themeColor="text1"/>
            <w:sz w:val="28"/>
            <w:szCs w:val="28"/>
            <w:highlight w:val="white"/>
            <w:u w:val="none"/>
          </w:rPr>
          <w:t xml:space="preserve">ф. 0510442</w:t>
        </w:r>
      </w:hyperlink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t xml:space="preserve">);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highlight w:val="white"/>
        </w:rPr>
      </w:r>
    </w:p>
    <w:p>
      <w:pPr>
        <w:pStyle w:val="871"/>
        <w:numPr>
          <w:ilvl w:val="0"/>
          <w:numId w:val="4"/>
        </w:numPr>
        <w:ind w:right="0"/>
        <w:jc w:val="both"/>
        <w:spacing w:before="0" w:after="0"/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t xml:space="preserve">Акт о приеме-передаче объектов нефинансовых активов (</w:t>
      </w:r>
      <w:hyperlink r:id="rId25" w:tooltip="https://gosfinansy.ru/group?groupId=98303161&amp;locale=ru&amp;date=2026-01-01&amp;isStatic=false&amp;pubAlias=mcfr-gf" w:history="1">
        <w:r>
          <w:rPr>
            <w:rStyle w:val="870"/>
            <w:rFonts w:ascii="Times New Roman" w:hAnsi="Times New Roman" w:eastAsia="Times New Roman" w:cs="Times New Roman"/>
            <w:b w:val="0"/>
            <w:bCs w:val="0"/>
            <w:color w:val="000000" w:themeColor="text1"/>
            <w:sz w:val="28"/>
            <w:szCs w:val="28"/>
            <w:highlight w:val="white"/>
            <w:u w:val="none"/>
          </w:rPr>
          <w:t xml:space="preserve">ф. 0510448</w:t>
        </w:r>
      </w:hyperlink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t xml:space="preserve">);  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highlight w:val="white"/>
        </w:rPr>
      </w:r>
    </w:p>
    <w:p>
      <w:pPr>
        <w:pStyle w:val="871"/>
        <w:numPr>
          <w:ilvl w:val="0"/>
          <w:numId w:val="4"/>
        </w:numPr>
        <w:ind w:right="0"/>
        <w:jc w:val="both"/>
        <w:spacing w:before="0" w:after="0"/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t xml:space="preserve">Акт приема-сдачи отремонтированных, реконструированных и модернизированных объектов основных средств (</w:t>
      </w:r>
      <w:hyperlink r:id="rId26" w:tooltip="https://gosfinansy.ru/group?groupId=5873001&amp;locale=ru&amp;date=2026-01-01&amp;isStatic=false&amp;pubAlias=mcfr-gf" w:history="1">
        <w:r>
          <w:rPr>
            <w:rStyle w:val="870"/>
            <w:rFonts w:ascii="Times New Roman" w:hAnsi="Times New Roman" w:eastAsia="Times New Roman" w:cs="Times New Roman"/>
            <w:b w:val="0"/>
            <w:bCs w:val="0"/>
            <w:color w:val="000000" w:themeColor="text1"/>
            <w:sz w:val="28"/>
            <w:szCs w:val="28"/>
            <w:highlight w:val="white"/>
            <w:u w:val="none"/>
          </w:rPr>
          <w:t xml:space="preserve">ф. 0504103</w:t>
        </w:r>
      </w:hyperlink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t xml:space="preserve">);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highlight w:val="white"/>
        </w:rPr>
      </w:r>
    </w:p>
    <w:p>
      <w:pPr>
        <w:pStyle w:val="871"/>
        <w:numPr>
          <w:ilvl w:val="0"/>
          <w:numId w:val="17"/>
        </w:numPr>
        <w:ind w:right="0"/>
        <w:jc w:val="both"/>
        <w:spacing w:before="0" w:after="0"/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t xml:space="preserve">Акт приемки (</w:t>
      </w:r>
      <w:hyperlink r:id="rId27" w:tooltip="https://gosfinansy.ru/group?groupId=118654939&amp;locale=ru&amp;date=2026-01-01&amp;isStatic=false&amp;pubAlias=mcfr-gf" w:history="1">
        <w:r>
          <w:rPr>
            <w:rStyle w:val="870"/>
            <w:rFonts w:ascii="Times New Roman" w:hAnsi="Times New Roman" w:eastAsia="Times New Roman" w:cs="Times New Roman"/>
            <w:b w:val="0"/>
            <w:bCs w:val="0"/>
            <w:color w:val="000000" w:themeColor="text1"/>
            <w:sz w:val="28"/>
            <w:szCs w:val="28"/>
            <w:highlight w:val="white"/>
            <w:u w:val="none"/>
          </w:rPr>
          <w:t xml:space="preserve">ф. 0510452</w:t>
        </w:r>
      </w:hyperlink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t xml:space="preserve">);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highlight w:val="white"/>
        </w:rPr>
      </w:r>
    </w:p>
    <w:p>
      <w:pPr>
        <w:pStyle w:val="871"/>
        <w:numPr>
          <w:ilvl w:val="0"/>
          <w:numId w:val="14"/>
        </w:numPr>
        <w:ind w:right="0"/>
        <w:jc w:val="both"/>
        <w:spacing w:before="0" w:after="0"/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t xml:space="preserve">Акт о консервации (расконсервации) объектов основных средств(ф. 0510433)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none"/>
        </w:rPr>
        <w:t xml:space="preserve">;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highlight w:val="white"/>
        </w:rPr>
      </w:r>
    </w:p>
    <w:p>
      <w:pPr>
        <w:pStyle w:val="871"/>
        <w:numPr>
          <w:ilvl w:val="0"/>
          <w:numId w:val="4"/>
        </w:numPr>
        <w:ind w:right="0"/>
        <w:jc w:val="both"/>
        <w:spacing w:before="0" w:after="0"/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t xml:space="preserve">Акт о списании объектов НФА (</w:t>
      </w:r>
      <w:hyperlink r:id="rId28" w:tooltip="https://gosfinansy.ru/group?groupId=102979646&amp;locale=ru&amp;date=2026-01-01&amp;isStatic=false&amp;pubAlias=mcfr-gf" w:history="1">
        <w:r>
          <w:rPr>
            <w:rStyle w:val="870"/>
            <w:rFonts w:ascii="Times New Roman" w:hAnsi="Times New Roman" w:eastAsia="Times New Roman" w:cs="Times New Roman"/>
            <w:b w:val="0"/>
            <w:bCs w:val="0"/>
            <w:color w:val="000000" w:themeColor="text1"/>
            <w:sz w:val="28"/>
            <w:szCs w:val="28"/>
            <w:highlight w:val="white"/>
            <w:u w:val="none"/>
          </w:rPr>
          <w:t xml:space="preserve">ф. 0510454</w:t>
        </w:r>
      </w:hyperlink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t xml:space="preserve">);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highlight w:val="white"/>
        </w:rPr>
      </w:r>
    </w:p>
    <w:p>
      <w:pPr>
        <w:pStyle w:val="871"/>
        <w:numPr>
          <w:ilvl w:val="0"/>
          <w:numId w:val="4"/>
        </w:numPr>
        <w:ind w:right="0"/>
        <w:jc w:val="both"/>
        <w:spacing w:before="0" w:after="0"/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t xml:space="preserve">Акт о списании транспортного средства (ф. 0510456);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highlight w:val="white"/>
        </w:rPr>
      </w:r>
    </w:p>
    <w:p>
      <w:pPr>
        <w:pStyle w:val="871"/>
        <w:numPr>
          <w:ilvl w:val="0"/>
          <w:numId w:val="4"/>
        </w:numPr>
        <w:ind w:right="0"/>
        <w:jc w:val="both"/>
        <w:spacing w:before="0" w:after="0"/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t xml:space="preserve">Акт о списании материальных запасов (</w:t>
      </w:r>
      <w:hyperlink r:id="rId29" w:tooltip="https://gosfinansy.ru/group?groupId=102979652&amp;locale=ru&amp;date=2026-01-01&amp;isStatic=false&amp;pubAlias=mcfr-gf" w:history="1">
        <w:r>
          <w:rPr>
            <w:rStyle w:val="870"/>
            <w:rFonts w:ascii="Times New Roman" w:hAnsi="Times New Roman" w:eastAsia="Times New Roman" w:cs="Times New Roman"/>
            <w:b w:val="0"/>
            <w:bCs w:val="0"/>
            <w:color w:val="000000" w:themeColor="text1"/>
            <w:sz w:val="28"/>
            <w:szCs w:val="28"/>
            <w:highlight w:val="white"/>
            <w:u w:val="none"/>
          </w:rPr>
          <w:t xml:space="preserve">ф. 0510460</w:t>
        </w:r>
      </w:hyperlink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t xml:space="preserve">);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highlight w:val="white"/>
        </w:rPr>
      </w:r>
    </w:p>
    <w:p>
      <w:pPr>
        <w:pStyle w:val="871"/>
        <w:numPr>
          <w:ilvl w:val="0"/>
          <w:numId w:val="4"/>
        </w:numPr>
        <w:ind w:right="0"/>
        <w:jc w:val="both"/>
        <w:spacing w:before="0" w:after="0"/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t xml:space="preserve">Акт о списании бланков строгой отчетности (ф.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t xml:space="preserve">0510461)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none"/>
        </w:rPr>
        <w:t xml:space="preserve">;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highlight w:val="white"/>
        </w:rPr>
      </w:r>
    </w:p>
    <w:p>
      <w:pPr>
        <w:pStyle w:val="871"/>
        <w:numPr>
          <w:ilvl w:val="0"/>
          <w:numId w:val="4"/>
        </w:numPr>
        <w:ind w:right="0"/>
        <w:jc w:val="both"/>
        <w:spacing w:before="0" w:after="0"/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t xml:space="preserve">Акт о списании мягкого и хозяйственного инвентаря (ф. 0504143)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none"/>
        </w:rPr>
        <w:t xml:space="preserve">;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highlight w:val="white"/>
        </w:rPr>
      </w:r>
    </w:p>
    <w:p>
      <w:pPr>
        <w:pStyle w:val="871"/>
        <w:numPr>
          <w:ilvl w:val="0"/>
          <w:numId w:val="15"/>
        </w:numPr>
        <w:ind w:right="0"/>
        <w:jc w:val="both"/>
        <w:spacing w:before="0" w:after="0"/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t xml:space="preserve">Акт об утилизации (уничтожении) материальных ценностей (</w:t>
      </w:r>
      <w:hyperlink r:id="rId30" w:tooltip="https://gosfinansy.ru/group?groupId=89950238&amp;locale=ru&amp;date=2026-01-01&amp;isStatic=false&amp;pubAlias=mcfr-gf" w:history="1">
        <w:r>
          <w:rPr>
            <w:rStyle w:val="870"/>
            <w:rFonts w:ascii="Times New Roman" w:hAnsi="Times New Roman" w:eastAsia="Times New Roman" w:cs="Times New Roman"/>
            <w:b w:val="0"/>
            <w:bCs w:val="0"/>
            <w:color w:val="000000" w:themeColor="text1"/>
            <w:sz w:val="28"/>
            <w:szCs w:val="28"/>
            <w:highlight w:val="white"/>
            <w:u w:val="none"/>
          </w:rPr>
          <w:t xml:space="preserve">ф. 0510435</w:t>
        </w:r>
      </w:hyperlink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t xml:space="preserve">)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highlight w:val="none"/>
        </w:rPr>
        <w:t xml:space="preserve">.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highlight w:val="white"/>
        </w:rPr>
      </w:r>
    </w:p>
    <w:p>
      <w:pPr>
        <w:ind w:left="709" w:right="0" w:firstLine="0"/>
        <w:jc w:val="both"/>
        <w:spacing w:before="0" w:after="0"/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highlight w:val="white"/>
        </w:rPr>
      </w:r>
    </w:p>
    <w:p>
      <w:pPr>
        <w:ind w:left="0" w:right="0" w:firstLine="0"/>
        <w:jc w:val="both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3.4. Комиссия осуществляет контроль за: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</w:rPr>
      </w:r>
    </w:p>
    <w:p>
      <w:pPr>
        <w:ind w:left="0" w:righ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3.4.1. Изъятием из списываемых основных средств пригодных узлов, деталей, конструкций и материалов, драгоценных металлов и камней, цветных металлов.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ind w:left="0" w:righ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3.4.2. Сдачей вторичного сырья в организации приема вторичного сырья.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ind w:left="0" w:righ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3.4.3. Получением от специализированной организации по утилизации имущества акта приема-сдачи имущества, подлежащего уничтожению, акта об оказанных услугах по уничтожению имущества, акта об уничтожении.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ind w:left="0" w:righ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3.5. Уполномоченный член Комиссии контролирует нанесение материально ответственным лицом присвоенных объектам основных средств инвентарных номеров, а также маркировку мягкого инвентаря и иных объектов материальных запасов с учетом требований.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ind w:left="0" w:right="0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 w:themeColor="text1"/>
          <w:sz w:val="28"/>
          <w:szCs w:val="28"/>
        </w:rPr>
        <w:t xml:space="preserve">4. Порядок принятия решений по нефинансовым активам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ind w:left="0" w:righ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 4.1. Решение Комиссии об отнесении объекта имущества к основным средствам, материальным запасам, нематериальным активам и неисключительным правам на них, а также о сроках использования активов осуществляется в соответствии с положениями федеральных станда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ртов «</w:t>
      </w:r>
      <w:hyperlink r:id="rId31" w:tooltip="https://gosfinansy.ru/group?groupId=21634950&amp;locale=ru&amp;date=2026-01-01&amp;isStatic=false&amp;pubAlias=mcfr-gf" w:history="1">
        <w:r>
          <w:rPr>
            <w:rStyle w:val="870"/>
            <w:rFonts w:ascii="Times New Roman" w:hAnsi="Times New Roman" w:eastAsia="Times New Roman" w:cs="Times New Roman"/>
            <w:color w:val="000000" w:themeColor="text1"/>
            <w:sz w:val="28"/>
            <w:szCs w:val="28"/>
            <w:u w:val="none"/>
          </w:rPr>
          <w:t xml:space="preserve">Основные средства</w:t>
        </w:r>
      </w:hyperlink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»,  «</w:t>
      </w:r>
      <w:hyperlink r:id="rId32" w:tooltip="https://gosfinansy.ru/group?groupId=62536488&amp;locale=ru&amp;date=2026-01-01&amp;isStatic=false&amp;anchor=XA00LUO2M6&amp;pubAlias=mcfr-gf" w:history="1">
        <w:r>
          <w:rPr>
            <w:rStyle w:val="870"/>
            <w:rFonts w:ascii="Times New Roman" w:hAnsi="Times New Roman" w:eastAsia="Times New Roman" w:cs="Times New Roman"/>
            <w:color w:val="000000" w:themeColor="text1"/>
            <w:sz w:val="28"/>
            <w:szCs w:val="28"/>
            <w:u w:val="none"/>
          </w:rPr>
          <w:t xml:space="preserve">Нематериальные активы</w:t>
        </w:r>
      </w:hyperlink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» и учетной политикой учреждения, иными нормативными правовыми актами.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ind w:left="0" w:righ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4.2. При принятии к учету объектов имущества Комиссия проверяет наличие сопроводительных документов, технической документации, а также производит инвентаризацию приспособлений, принадлежностей, составных частей поступающего имущества в соответствии с данны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ми указанных документов.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ind w:left="0" w:right="0"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В случае выявления товаров ненадлежащего качества при их приемке Комиссия оформляет Акт приемки. 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ind w:left="0" w:righ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4.3. Решение Комиссии о сроке их полезного использования, об отнесении к соответствующей группе аналитического учета, определении кода ОКОФ и начисления амортизации принимается на основании: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pStyle w:val="871"/>
        <w:numPr>
          <w:ilvl w:val="0"/>
          <w:numId w:val="5"/>
        </w:numPr>
        <w:ind w:right="0"/>
        <w:jc w:val="both"/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информации, содержащейся в законодательстве РФ, устанавливающем сроки полезного использования имущества в целях начисления амортизации.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pStyle w:val="871"/>
        <w:numPr>
          <w:ilvl w:val="0"/>
          <w:numId w:val="5"/>
        </w:numPr>
        <w:ind w:right="0"/>
        <w:jc w:val="both"/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по объектам основных средств, включенным в амортизационные группы с первой по девятую, срок полезного использования определяется по наибольшему сроку, установленному для указанных амортизационных групп; в 10-ю амортизационную группу – срок полезного исполь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зования рассчитывается исходя из 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pStyle w:val="871"/>
        <w:numPr>
          <w:ilvl w:val="0"/>
          <w:numId w:val="5"/>
        </w:numPr>
        <w:ind w:right="0"/>
        <w:jc w:val="both"/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hyperlink r:id="rId33" w:tooltip="https://gosfinansy.ru/group?groupId=125467&amp;locale=ru&amp;date=2026-01-01&amp;isStatic=true&amp;anchor=XA00M5Q2MD&amp;pubAlias=mcfr-gf" w:history="1">
        <w:r>
          <w:rPr>
            <w:rStyle w:val="870"/>
            <w:rFonts w:ascii="Times New Roman" w:hAnsi="Times New Roman" w:eastAsia="Times New Roman" w:cs="Times New Roman"/>
            <w:color w:val="000000" w:themeColor="text1"/>
            <w:sz w:val="28"/>
            <w:szCs w:val="28"/>
            <w:u w:val="none"/>
          </w:rPr>
          <w:t xml:space="preserve">единых норм</w:t>
        </w:r>
      </w:hyperlink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 амортизационных отчислений, утвержденных постановлением Совета Министров СССР от 22.10.1990 № 1072.;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pStyle w:val="871"/>
        <w:numPr>
          <w:ilvl w:val="0"/>
          <w:numId w:val="5"/>
        </w:numPr>
        <w:ind w:right="0"/>
        <w:jc w:val="both"/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рекомендаций, содержащихся в документах производителя, на основании решения Комиссии, принятого с учетом ожидаемой производительности или мощности, ожидаемого физического износа, зависящих от режима эксплуатации, естественных условий и влияния агрессивной 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среды, системы проведения ремонта, гарантийного и договорного срока использования и других ограничений использования;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pStyle w:val="871"/>
        <w:numPr>
          <w:ilvl w:val="0"/>
          <w:numId w:val="5"/>
        </w:numPr>
        <w:ind w:right="0"/>
        <w:jc w:val="both"/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данных предыдущих балансодержателей (пользователей) основных средств и нематериальных активов о сроке их фактической эксплуатации и степени износа – при поступлении объектов, бывших в эксплуатации в государственных (муниципальных) учреждениях, государствен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ных органах (указанных в актах приема-передачи);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pStyle w:val="871"/>
        <w:numPr>
          <w:ilvl w:val="0"/>
          <w:numId w:val="5"/>
        </w:numPr>
        <w:ind w:right="0"/>
        <w:jc w:val="both"/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информации о сроках действия патентов, свидетельств и других ограничений сроков использования объектов интеллектуальной собственности согласно законодательству РФ, об ожидаемом сроке их использования при определении срока полезного использования нематериал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ьных активов.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ind w:left="0" w:righ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4.4. Если в отношении нематериальных активов комиссия не может определить срок использования, он считается неопределенным.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ind w:left="0" w:right="0"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Ежегодно во время инвентаризации комиссия пересматривает сроки полезного использования по каждому объекту нематериальных активов.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ind w:left="0" w:righ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4.5. Срок полезного использования неисключительных прав комиссия определяет исходя из: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pStyle w:val="871"/>
        <w:numPr>
          <w:ilvl w:val="0"/>
          <w:numId w:val="6"/>
        </w:numPr>
        <w:ind w:right="0"/>
        <w:jc w:val="both"/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срока действия прав на результат интеллектуальной деятельности или средство индивидуализации и периода контроля над объектом;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pStyle w:val="871"/>
        <w:numPr>
          <w:ilvl w:val="0"/>
          <w:numId w:val="6"/>
        </w:numPr>
        <w:ind w:right="0"/>
        <w:jc w:val="both"/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срока действия патента, свидетельства, других ограничений сроков по законодательству;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pStyle w:val="871"/>
        <w:numPr>
          <w:ilvl w:val="0"/>
          <w:numId w:val="6"/>
        </w:numPr>
        <w:ind w:right="0"/>
        <w:jc w:val="both"/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ожидаемого срока использования актива, в течение которого планируете использовать его в деятельности или получать экономические выгоды;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pStyle w:val="871"/>
        <w:numPr>
          <w:ilvl w:val="0"/>
          <w:numId w:val="6"/>
        </w:numPr>
        <w:ind w:right="0"/>
        <w:jc w:val="both"/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типичного жизненного цикла для актива и публичной информации о сроках службы аналогичных объектов;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pStyle w:val="871"/>
        <w:numPr>
          <w:ilvl w:val="0"/>
          <w:numId w:val="6"/>
        </w:numPr>
        <w:ind w:right="0"/>
        <w:jc w:val="both"/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технологических, технических и других типов устаревания.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ind w:left="0" w:right="0"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Если анализ всех факторов не позволил установить точный период, когда объект будет приносить экономические выгоды и полезный потенциал, комиссия признает срок неопределенным. Далее каждый год во время инвентаризации комиссия проверяет факторы, по которым р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анее определяла срок использования. Если обстоятельства и условия изменились, комиссия уточняет срок службы.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ind w:left="0" w:righ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4.6. Решение Комиссии о первоначальной (фактической) стоимости поступающих в учреждение на праве оперативного управления объектов нефинансовых активов принимается на основании следующих документов: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pStyle w:val="871"/>
        <w:numPr>
          <w:ilvl w:val="0"/>
          <w:numId w:val="7"/>
        </w:numPr>
        <w:ind w:right="0"/>
        <w:jc w:val="both"/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сопроводительной и технической документации (государственных контрактов, договоров, накладных поставщика, счетов-фактур, актов о приемке выполненных работ (услуг), паспортов, гарантийных талонов и т. п.), которая представляется материально ответственным ли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цом в копиях либо – по требованию Комиссии – в подлинниках;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pStyle w:val="871"/>
        <w:numPr>
          <w:ilvl w:val="0"/>
          <w:numId w:val="7"/>
        </w:numPr>
        <w:ind w:right="0"/>
        <w:jc w:val="both"/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представленных предыдущим балансодержателем (по безвозмездно полученным основным средствам и нематериальным активам);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pStyle w:val="871"/>
        <w:numPr>
          <w:ilvl w:val="0"/>
          <w:numId w:val="7"/>
        </w:numPr>
        <w:ind w:right="0"/>
        <w:jc w:val="both"/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отчетов об оценке независимых оценщиков;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pStyle w:val="871"/>
        <w:numPr>
          <w:ilvl w:val="0"/>
          <w:numId w:val="7"/>
        </w:numPr>
        <w:ind w:right="0"/>
        <w:jc w:val="both"/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данных о ценах на аналогичные материальные ценности, полученных в письменной форме от организаций-изготовителей;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pStyle w:val="871"/>
        <w:numPr>
          <w:ilvl w:val="0"/>
          <w:numId w:val="7"/>
        </w:numPr>
        <w:ind w:right="0"/>
        <w:jc w:val="both"/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сведений об уровне цен, имеющихся у органов государственной статистики, торговых инспекций, а также в средствах массовой информации и специальной литературе, экспертных заключениях (в том числе экспертов, привлеченных на добровольных началах к работе в Ком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иссии).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ind w:left="0" w:righ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4.7. Решение Комиссии о списании (выбытии) основных средств, нематериальных активов, материальных запасов принимается после выполнения следующих мероприятий: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pStyle w:val="871"/>
        <w:numPr>
          <w:ilvl w:val="0"/>
          <w:numId w:val="8"/>
        </w:numPr>
        <w:ind w:right="0"/>
        <w:jc w:val="both"/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непосредственный осмотр основных средств (при их наличии), определение их технического состояния и возможности дальнейшего применения по назначению с использованием необходимой технической документации (технический паспорт, проект, чертежи, технические усл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овия, инструкции по эксплуатации и т. п.), данных бухгалтерского учета и установление их непригодности к восстановлению и дальнейшему использованию либо нецелесообразности дальнейшего восстановления и (или) использования;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pStyle w:val="871"/>
        <w:numPr>
          <w:ilvl w:val="0"/>
          <w:numId w:val="8"/>
        </w:numPr>
        <w:ind w:right="0"/>
        <w:jc w:val="both"/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рассмотрение документов, подтверждающих преждевременное выбытие имущества из владения, пользования и распоряжения вследствие его гибели или уничтожения, в том числе помимо воли обладателя права на оперативное управление;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pStyle w:val="871"/>
        <w:numPr>
          <w:ilvl w:val="0"/>
          <w:numId w:val="8"/>
        </w:numPr>
        <w:ind w:right="0"/>
        <w:jc w:val="both"/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установление конкретных причин списания (выбытия) (износ физический, моральный, авария, нарушение условий содержания или  эксплуатации, ликвидация при реконструкции, длительное неиспользование имущества, другие причины);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pStyle w:val="871"/>
        <w:numPr>
          <w:ilvl w:val="0"/>
          <w:numId w:val="8"/>
        </w:numPr>
        <w:ind w:right="0"/>
        <w:jc w:val="both"/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выявление лиц, по вине которых произошло преждевременное выбытие, и вынесении предложений о привлечении этих лиц к ответственности, установленной законодательством;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pStyle w:val="871"/>
        <w:numPr>
          <w:ilvl w:val="0"/>
          <w:numId w:val="8"/>
        </w:numPr>
        <w:ind w:right="0"/>
        <w:jc w:val="both"/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поручение ответственным исполнителям учреждения подготовки экспертного заключения о техническом состоянии основных средств, подлежащих списанию, или составление дефектной ведомости на оборудование, находящееся в эксплуатации, а также на производственный и 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хозяйственный инвентарь;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pStyle w:val="871"/>
        <w:numPr>
          <w:ilvl w:val="0"/>
          <w:numId w:val="8"/>
        </w:numPr>
        <w:ind w:right="0"/>
        <w:jc w:val="both"/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определение возможности использования отдельных узлов, деталей, конструкций материалов, выбывающих основных средств и их оценка на дату принятия к учету.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ind w:left="0" w:righ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4.8. Решение Комиссии о списании (выбытии) основных средств принимается с учетом наличия: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pStyle w:val="871"/>
        <w:numPr>
          <w:ilvl w:val="0"/>
          <w:numId w:val="9"/>
        </w:numPr>
        <w:ind w:right="0"/>
        <w:jc w:val="both"/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технического заключения о состоянии основных средств, подлежащих списанию, или дефектной ведомости на оборудование, находящееся в эксплуатации, а также на производственный и хозяйственный инвентарь – при списании основных средств, не пригодных к использова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нию по назначению;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pStyle w:val="871"/>
        <w:numPr>
          <w:ilvl w:val="0"/>
          <w:numId w:val="9"/>
        </w:numPr>
        <w:ind w:right="0"/>
        <w:jc w:val="both"/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драгоценных металлов и драгоценных камней, содержащихся в списываемых основных средствах, которые учитываются в порядке, установленном </w:t>
      </w:r>
      <w:hyperlink r:id="rId34" w:tooltip="https://gosfinansy.ru/group?groupId=21297389&amp;locale=ru&amp;date=2026-01-01&amp;isStatic=false&amp;pubAlias=mcfr-gf" w:history="1">
        <w:r>
          <w:rPr>
            <w:rStyle w:val="870"/>
            <w:rFonts w:ascii="Times New Roman" w:hAnsi="Times New Roman" w:eastAsia="Times New Roman" w:cs="Times New Roman"/>
            <w:color w:val="000000" w:themeColor="text1"/>
            <w:sz w:val="28"/>
            <w:szCs w:val="28"/>
            <w:u w:val="none"/>
          </w:rPr>
          <w:t xml:space="preserve">приказом Минфина от 09.12.2016 № 231н</w:t>
        </w:r>
      </w:hyperlink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 «Об утверждении Инструкции о порядке учета и хранения драгоценных металлов, драгоценных камней, продукции из них и ведения отчетности при их производстве, использовании и обращении»;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pStyle w:val="871"/>
        <w:numPr>
          <w:ilvl w:val="0"/>
          <w:numId w:val="9"/>
        </w:numPr>
        <w:ind w:right="0"/>
        <w:jc w:val="both"/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акта об аварии или заверенной его копии, а также пояснений причастных лиц о причинах, вызвавших аварию, – при списании основных средств, выбывших вследствие аварий;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pStyle w:val="871"/>
        <w:numPr>
          <w:ilvl w:val="0"/>
          <w:numId w:val="9"/>
        </w:numPr>
        <w:ind w:right="0"/>
        <w:jc w:val="both"/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иных документов, подтверждающих факт преждевременного выбытия имущества из владения, пользования и распоряжения.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ind w:left="0" w:righ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4.9. При принятии решения о выбытии нематериальных активов комиссия руководствуется следующими критериями: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pStyle w:val="871"/>
        <w:numPr>
          <w:ilvl w:val="0"/>
          <w:numId w:val="10"/>
        </w:numPr>
        <w:ind w:right="0"/>
        <w:jc w:val="both"/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учреждение передало все существенные операционные риски и выгоды, связанные с распоряжением (владением, пользованием) активом;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pStyle w:val="871"/>
        <w:numPr>
          <w:ilvl w:val="0"/>
          <w:numId w:val="10"/>
        </w:numPr>
        <w:ind w:right="0"/>
        <w:jc w:val="both"/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учреждение больше не участвует в распоряжении выбывшим объектом в той степени, которая определяется предоставленными правами при признании объекта нематериальных активов, а также в его реальном использовании;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pStyle w:val="871"/>
        <w:numPr>
          <w:ilvl w:val="0"/>
          <w:numId w:val="10"/>
        </w:numPr>
        <w:ind w:right="0"/>
        <w:jc w:val="both"/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величина дохода/расхода от выбытия объекта может быть надежно оценена;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pStyle w:val="871"/>
        <w:numPr>
          <w:ilvl w:val="0"/>
          <w:numId w:val="10"/>
        </w:numPr>
        <w:ind w:right="0"/>
        <w:jc w:val="both"/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прогнозируемые экономические выгоды или полезный потенциал, связанные с объектом нематериальных активов, а также понесенные или ожидаемые затраты, связанные с операцией с объектом, могут быть надежно оценены.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ind w:left="0" w:righ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4.10. В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целях согласования решения о списании недвижимого и особо ценного движимого имущества, закрепленного за учреждением или приобретенного за счет средств, выделенных учредителем, Комиссия подготавливает и направляет учредителю следующие документы: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pStyle w:val="871"/>
        <w:numPr>
          <w:ilvl w:val="0"/>
          <w:numId w:val="11"/>
        </w:numPr>
        <w:ind w:right="0"/>
        <w:jc w:val="both"/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перечень объектов имущества, решение о списании которых подлежит согласованию;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pStyle w:val="871"/>
        <w:numPr>
          <w:ilvl w:val="0"/>
          <w:numId w:val="11"/>
        </w:numPr>
        <w:ind w:right="0"/>
        <w:jc w:val="both"/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копию протокола заседания постоянно действующей Комиссии по подготовке и принятию решения о списании объектов имущества;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pStyle w:val="871"/>
        <w:numPr>
          <w:ilvl w:val="0"/>
          <w:numId w:val="11"/>
        </w:numPr>
        <w:ind w:right="0"/>
        <w:jc w:val="both"/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акты о списании имущества и прочие оправдательные документы.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ind w:left="0" w:right="0"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Акты о списании недвижимого имущества, а также особо ценного движимого имущества составляются в трех экземплярах, подписываются Комиссией и направляются для согласования в соответствии с нормативной базой, после чего утверждаются руководителем учреждения.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ind w:left="0" w:right="0"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Акты о списании иного движимого имущества (за исключением особо ценного), составляются не менее чем в двух экземплярах и утверждаются руководителем учреждения самостоятельно.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ind w:left="0" w:righ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4.11. Решение Комиссии, принятое на заседании, оформляется протоколом, который подписывают председатель и члены Комиссии и утверждает руководитель учреждения.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ind w:left="0" w:righ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u w:val="single"/>
        </w:rPr>
        <w:t xml:space="preserve">4.12. Оформленные в установленном порядке документы Комиссия передает в бухгалтерию для отражения в учете.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ind w:left="0" w:righ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4.13. Протоколы Комиссии хранятся в соответствии с </w:t>
      </w:r>
      <w:hyperlink r:id="rId35" w:tooltip="https://gosfinansy.ru/group?groupId=136&amp;locale=ru&amp;date=2026-01-01&amp;isStatic=false&amp;pubAlias=mcfr-gf" w:history="1">
        <w:r>
          <w:rPr>
            <w:rStyle w:val="870"/>
            <w:rFonts w:ascii="Times New Roman" w:hAnsi="Times New Roman" w:eastAsia="Times New Roman" w:cs="Times New Roman"/>
            <w:color w:val="000000" w:themeColor="text1"/>
            <w:sz w:val="28"/>
            <w:szCs w:val="28"/>
            <w:u w:val="none"/>
          </w:rPr>
          <w:t xml:space="preserve">Законом от 22.10.2004 № 125-ФЗ «Об архивном деле в Российской Федерации»</w:t>
        </w:r>
      </w:hyperlink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ind w:left="0" w:right="0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 w:themeColor="text1"/>
          <w:sz w:val="28"/>
          <w:szCs w:val="28"/>
        </w:rPr>
        <w:t xml:space="preserve">5. Порядок принятия решений по дебиторской задолженности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ind w:left="0" w:righ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5.1. Комиссия проводит заседание о признании дебиторской задолженности сомнительной или безнадежной на основании результатов инвентаризации дебиторской задолженности, если инвентаризационная комиссия дала рекомендацию списать задолженность. Заседание комис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сии проводится на следующий рабочий день после поступления и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нвентаризационной описи расчетов с дебиторами и кредиторами (ф. 0510469).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ind w:left="0" w:righ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5.2. По результатам заседания Комиссия принимает одно из решений: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pStyle w:val="871"/>
        <w:numPr>
          <w:ilvl w:val="0"/>
          <w:numId w:val="12"/>
        </w:numPr>
        <w:ind w:right="0"/>
        <w:jc w:val="both"/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признать дебиторскую задолженность сомнительной, списать с учета и продолжить наблюдение на забалансовом счете,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pStyle w:val="871"/>
        <w:numPr>
          <w:ilvl w:val="0"/>
          <w:numId w:val="12"/>
        </w:numPr>
        <w:ind w:right="0"/>
        <w:jc w:val="both"/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признать дебиторскую задолженность безнадежной к взысканию и списать с учета;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pStyle w:val="871"/>
        <w:numPr>
          <w:ilvl w:val="0"/>
          <w:numId w:val="12"/>
        </w:numPr>
        <w:ind w:right="0"/>
        <w:jc w:val="both"/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отказать в признании задолженности сомнительной или безнадежной к взысканию.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ind w:left="0" w:right="0"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Для этого комиссия проводит анализ документов, приложенных к инвентаризационной описи, при необходимости комиссия запрашивает у главного бухгалтера выписки из отчетности, пояснения о мерах, принятых для взыскания задолженности.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ind w:left="0" w:right="0"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На основании полученных документов комиссия устанавливает факт возникновения обстоятельств для признания дебиторской задолженности сомнительной или безнадежной к взысканию, в том числе путем изучения информации в сети Интернет на сайтах и сервисах государс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твенных органов – ФНС, СФР, Росстата, судебных и других органов. При необходимости запрашивает официальные документы в государственных органах.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ind w:left="0" w:righ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5.3. Если задолженность признана сомнительной, комиссия указывает в решении дату окончания срока возможного возобновления процедуры взыскания.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ind w:left="0" w:righ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5.4. В случае разногласия мнений членов комиссии принимается решение об отказе в признании дебиторской задолженности сомнительной или безнадежной к взысканию.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ind w:left="0" w:righ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5.5. При признании задолженности по доходам безнадежной к взысканию оформляется Акт о признании безнадежной к взысканию задолженности по доходам (ф. 0510436).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ind w:left="0" w:right="0"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При признании задолженности по доходам сомнительной оформляется Решение о признании сомнительной задолженности (ф. 0510445).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ind w:left="0" w:right="0"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В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 остальных случаях решение комиссии по поступлению и выбытию активов о признании задолженности сомнительной или безнадежной к взысканию оформляется актом, который содержит следующую информацию: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pStyle w:val="871"/>
        <w:numPr>
          <w:ilvl w:val="0"/>
          <w:numId w:val="13"/>
        </w:numPr>
        <w:ind w:right="0"/>
        <w:jc w:val="both"/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полное наименование учреждения;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pStyle w:val="871"/>
        <w:numPr>
          <w:ilvl w:val="0"/>
          <w:numId w:val="13"/>
        </w:numPr>
        <w:ind w:right="0"/>
        <w:jc w:val="both"/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идентификационный номер налогоплательщика, основной государственный регистрационный номер, код причины постановки на учет налогоплательщика;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pStyle w:val="871"/>
        <w:numPr>
          <w:ilvl w:val="0"/>
          <w:numId w:val="13"/>
        </w:numPr>
        <w:ind w:right="0"/>
        <w:jc w:val="both"/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реквизиты документов, по которым возникла дебиторская задолженность, – платежных документов, накладных, актов выполненных работ и т. д.;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pStyle w:val="871"/>
        <w:numPr>
          <w:ilvl w:val="0"/>
          <w:numId w:val="13"/>
        </w:numPr>
        <w:ind w:right="0"/>
        <w:jc w:val="both"/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сумма дебиторской задолженности, признанной сомнительной или безнадежной к взысканию;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pStyle w:val="871"/>
        <w:numPr>
          <w:ilvl w:val="0"/>
          <w:numId w:val="13"/>
        </w:numPr>
        <w:ind w:right="0"/>
        <w:jc w:val="both"/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дата принятия решения о признании дебиторской задолженности сомнительной или безнадежной к взысканию;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pStyle w:val="871"/>
        <w:numPr>
          <w:ilvl w:val="0"/>
          <w:numId w:val="13"/>
        </w:numPr>
        <w:ind w:right="0"/>
        <w:jc w:val="both"/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подписи членов комиссии. 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ind w:left="0" w:right="0"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Решение комиссии о признании дебиторской задолженности сомнительной или безнадежной к взысканию утверждается руководителем.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ind w:left="0" w:right="0" w:firstLine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br/>
        <w:br/>
      </w:r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Symbol">
    <w:panose1 w:val="05010000000000000000"/>
  </w:font>
  <w:font w:name="Wingdings">
    <w:panose1 w:val="05010000000000000000"/>
  </w:font>
  <w:font w:name="Courier New">
    <w:panose1 w:val="020703090202050204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56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976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696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416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36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856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576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296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016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964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684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3404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4124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844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564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6284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7004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724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  <w:color w:val="000000"/>
        <w:sz w:val="21"/>
      </w:rPr>
    </w:lvl>
    <w:lvl w:ilvl="1">
      <w:start w:val="1"/>
      <w:numFmt w:val="bullet"/>
      <w:isLgl w:val="false"/>
      <w:suff w:val="tab"/>
      <w:lvlText w:val="·"/>
      <w:lvlJc w:val="left"/>
      <w:pPr>
        <w:ind w:left="1429" w:hanging="360"/>
      </w:pPr>
      <w:rPr>
        <w:rFonts w:hint="default" w:ascii="Symbol" w:hAnsi="Symbol" w:eastAsia="Symbol" w:cs="Symbol"/>
        <w:color w:val="000000"/>
        <w:sz w:val="21"/>
      </w:rPr>
    </w:lvl>
    <w:lvl w:ilvl="2">
      <w:start w:val="1"/>
      <w:numFmt w:val="bullet"/>
      <w:isLgl w:val="false"/>
      <w:suff w:val="tab"/>
      <w:lvlText w:val="·"/>
      <w:lvlJc w:val="left"/>
      <w:pPr>
        <w:ind w:left="2149" w:hanging="360"/>
      </w:pPr>
      <w:rPr>
        <w:rFonts w:hint="default" w:ascii="Symbol" w:hAnsi="Symbol" w:eastAsia="Symbol" w:cs="Symbol"/>
        <w:color w:val="000000"/>
        <w:sz w:val="21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  <w:color w:val="000000"/>
        <w:sz w:val="21"/>
      </w:rPr>
    </w:lvl>
    <w:lvl w:ilvl="4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hint="default" w:ascii="Symbol" w:hAnsi="Symbol" w:eastAsia="Symbol" w:cs="Symbol"/>
        <w:color w:val="000000"/>
        <w:sz w:val="21"/>
      </w:rPr>
    </w:lvl>
    <w:lvl w:ilvl="5">
      <w:start w:val="1"/>
      <w:numFmt w:val="bullet"/>
      <w:isLgl w:val="false"/>
      <w:suff w:val="tab"/>
      <w:lvlText w:val="·"/>
      <w:lvlJc w:val="left"/>
      <w:pPr>
        <w:ind w:left="4309" w:hanging="360"/>
      </w:pPr>
      <w:rPr>
        <w:rFonts w:hint="default" w:ascii="Symbol" w:hAnsi="Symbol" w:eastAsia="Symbol" w:cs="Symbol"/>
        <w:color w:val="000000"/>
        <w:sz w:val="21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  <w:color w:val="000000"/>
        <w:sz w:val="21"/>
      </w:rPr>
    </w:lvl>
    <w:lvl w:ilvl="7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hint="default" w:ascii="Symbol" w:hAnsi="Symbol" w:eastAsia="Symbol" w:cs="Symbol"/>
        <w:color w:val="000000"/>
        <w:sz w:val="21"/>
      </w:rPr>
    </w:lvl>
    <w:lvl w:ilvl="8">
      <w:start w:val="1"/>
      <w:numFmt w:val="bullet"/>
      <w:isLgl w:val="false"/>
      <w:suff w:val="tab"/>
      <w:lvlText w:val="·"/>
      <w:lvlJc w:val="left"/>
      <w:pPr>
        <w:ind w:left="6469" w:hanging="360"/>
      </w:pPr>
      <w:rPr>
        <w:rFonts w:hint="default" w:ascii="Symbol" w:hAnsi="Symbol" w:eastAsia="Symbol" w:cs="Symbol"/>
        <w:color w:val="000000"/>
        <w:sz w:val="21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  <w:color w:val="000000"/>
        <w:sz w:val="21"/>
      </w:rPr>
    </w:lvl>
    <w:lvl w:ilvl="1">
      <w:start w:val="1"/>
      <w:numFmt w:val="bullet"/>
      <w:isLgl w:val="false"/>
      <w:suff w:val="tab"/>
      <w:lvlText w:val="·"/>
      <w:lvlJc w:val="left"/>
      <w:pPr>
        <w:ind w:left="1429" w:hanging="360"/>
      </w:pPr>
      <w:rPr>
        <w:rFonts w:hint="default" w:ascii="Symbol" w:hAnsi="Symbol" w:eastAsia="Symbol" w:cs="Symbol"/>
        <w:color w:val="000000"/>
        <w:sz w:val="21"/>
      </w:rPr>
    </w:lvl>
    <w:lvl w:ilvl="2">
      <w:start w:val="1"/>
      <w:numFmt w:val="bullet"/>
      <w:isLgl w:val="false"/>
      <w:suff w:val="tab"/>
      <w:lvlText w:val="·"/>
      <w:lvlJc w:val="left"/>
      <w:pPr>
        <w:ind w:left="2149" w:hanging="360"/>
      </w:pPr>
      <w:rPr>
        <w:rFonts w:hint="default" w:ascii="Symbol" w:hAnsi="Symbol" w:eastAsia="Symbol" w:cs="Symbol"/>
        <w:color w:val="000000"/>
        <w:sz w:val="21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  <w:color w:val="000000"/>
        <w:sz w:val="21"/>
      </w:rPr>
    </w:lvl>
    <w:lvl w:ilvl="4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hint="default" w:ascii="Symbol" w:hAnsi="Symbol" w:eastAsia="Symbol" w:cs="Symbol"/>
        <w:color w:val="000000"/>
        <w:sz w:val="21"/>
      </w:rPr>
    </w:lvl>
    <w:lvl w:ilvl="5">
      <w:start w:val="1"/>
      <w:numFmt w:val="bullet"/>
      <w:isLgl w:val="false"/>
      <w:suff w:val="tab"/>
      <w:lvlText w:val="·"/>
      <w:lvlJc w:val="left"/>
      <w:pPr>
        <w:ind w:left="4309" w:hanging="360"/>
      </w:pPr>
      <w:rPr>
        <w:rFonts w:hint="default" w:ascii="Symbol" w:hAnsi="Symbol" w:eastAsia="Symbol" w:cs="Symbol"/>
        <w:color w:val="000000"/>
        <w:sz w:val="21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  <w:color w:val="000000"/>
        <w:sz w:val="21"/>
      </w:rPr>
    </w:lvl>
    <w:lvl w:ilvl="7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hint="default" w:ascii="Symbol" w:hAnsi="Symbol" w:eastAsia="Symbol" w:cs="Symbol"/>
        <w:color w:val="000000"/>
        <w:sz w:val="21"/>
      </w:rPr>
    </w:lvl>
    <w:lvl w:ilvl="8">
      <w:start w:val="1"/>
      <w:numFmt w:val="bullet"/>
      <w:isLgl w:val="false"/>
      <w:suff w:val="tab"/>
      <w:lvlText w:val="·"/>
      <w:lvlJc w:val="left"/>
      <w:pPr>
        <w:ind w:left="6469" w:hanging="360"/>
      </w:pPr>
      <w:rPr>
        <w:rFonts w:hint="default" w:ascii="Symbol" w:hAnsi="Symbol" w:eastAsia="Symbol" w:cs="Symbol"/>
        <w:color w:val="000000"/>
        <w:sz w:val="21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·"/>
      <w:lvlJc w:val="left"/>
      <w:pPr>
        <w:ind w:left="1429" w:hanging="360"/>
      </w:pPr>
      <w:rPr>
        <w:rFonts w:hint="default" w:ascii="Symbol" w:hAnsi="Symbol" w:eastAsia="Symbol" w:cs="Symbol"/>
      </w:rPr>
    </w:lvl>
    <w:lvl w:ilvl="2">
      <w:start w:val="1"/>
      <w:numFmt w:val="bullet"/>
      <w:isLgl w:val="false"/>
      <w:suff w:val="tab"/>
      <w:lvlText w:val="·"/>
      <w:lvlJc w:val="left"/>
      <w:pPr>
        <w:ind w:left="2149" w:hanging="360"/>
      </w:pPr>
      <w:rPr>
        <w:rFonts w:hint="default" w:ascii="Symbol" w:hAnsi="Symbol" w:eastAsia="Symbol" w:cs="Symbol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hint="default" w:ascii="Symbol" w:hAnsi="Symbol" w:eastAsia="Symbol" w:cs="Symbol"/>
      </w:rPr>
    </w:lvl>
    <w:lvl w:ilvl="5">
      <w:start w:val="1"/>
      <w:numFmt w:val="bullet"/>
      <w:isLgl w:val="false"/>
      <w:suff w:val="tab"/>
      <w:lvlText w:val="·"/>
      <w:lvlJc w:val="left"/>
      <w:pPr>
        <w:ind w:left="4309" w:hanging="360"/>
      </w:pPr>
      <w:rPr>
        <w:rFonts w:hint="default" w:ascii="Symbol" w:hAnsi="Symbol" w:eastAsia="Symbol" w:cs="Symbol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hint="default" w:ascii="Symbol" w:hAnsi="Symbol" w:eastAsia="Symbol" w:cs="Symbol"/>
      </w:rPr>
    </w:lvl>
    <w:lvl w:ilvl="8">
      <w:start w:val="1"/>
      <w:numFmt w:val="bullet"/>
      <w:isLgl w:val="false"/>
      <w:suff w:val="tab"/>
      <w:lvlText w:val="·"/>
      <w:lvlJc w:val="left"/>
      <w:pPr>
        <w:ind w:left="6469" w:hanging="360"/>
      </w:pPr>
      <w:rPr>
        <w:rFonts w:hint="default" w:ascii="Symbol" w:hAnsi="Symbol" w:eastAsia="Symbol" w:cs="Symbol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·"/>
      <w:lvlJc w:val="left"/>
      <w:pPr>
        <w:ind w:left="1429" w:hanging="360"/>
      </w:pPr>
      <w:rPr>
        <w:rFonts w:hint="default" w:ascii="Symbol" w:hAnsi="Symbol" w:eastAsia="Symbol" w:cs="Symbol"/>
      </w:rPr>
    </w:lvl>
    <w:lvl w:ilvl="2">
      <w:start w:val="1"/>
      <w:numFmt w:val="bullet"/>
      <w:isLgl w:val="false"/>
      <w:suff w:val="tab"/>
      <w:lvlText w:val="·"/>
      <w:lvlJc w:val="left"/>
      <w:pPr>
        <w:ind w:left="2149" w:hanging="360"/>
      </w:pPr>
      <w:rPr>
        <w:rFonts w:hint="default" w:ascii="Symbol" w:hAnsi="Symbol" w:eastAsia="Symbol" w:cs="Symbol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hint="default" w:ascii="Symbol" w:hAnsi="Symbol" w:eastAsia="Symbol" w:cs="Symbol"/>
      </w:rPr>
    </w:lvl>
    <w:lvl w:ilvl="5">
      <w:start w:val="1"/>
      <w:numFmt w:val="bullet"/>
      <w:isLgl w:val="false"/>
      <w:suff w:val="tab"/>
      <w:lvlText w:val="·"/>
      <w:lvlJc w:val="left"/>
      <w:pPr>
        <w:ind w:left="4309" w:hanging="360"/>
      </w:pPr>
      <w:rPr>
        <w:rFonts w:hint="default" w:ascii="Symbol" w:hAnsi="Symbol" w:eastAsia="Symbol" w:cs="Symbol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hint="default" w:ascii="Symbol" w:hAnsi="Symbol" w:eastAsia="Symbol" w:cs="Symbol"/>
      </w:rPr>
    </w:lvl>
    <w:lvl w:ilvl="8">
      <w:start w:val="1"/>
      <w:numFmt w:val="bullet"/>
      <w:isLgl w:val="false"/>
      <w:suff w:val="tab"/>
      <w:lvlText w:val="·"/>
      <w:lvlJc w:val="left"/>
      <w:pPr>
        <w:ind w:left="6469" w:hanging="360"/>
      </w:pPr>
      <w:rPr>
        <w:rFonts w:hint="default" w:ascii="Symbol" w:hAnsi="Symbol" w:eastAsia="Symbol" w:cs="Symbol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·"/>
      <w:lvlJc w:val="left"/>
      <w:pPr>
        <w:ind w:left="1429" w:hanging="360"/>
      </w:pPr>
      <w:rPr>
        <w:rFonts w:hint="default" w:ascii="Symbol" w:hAnsi="Symbol" w:eastAsia="Symbol" w:cs="Symbol"/>
      </w:rPr>
    </w:lvl>
    <w:lvl w:ilvl="2">
      <w:start w:val="1"/>
      <w:numFmt w:val="bullet"/>
      <w:isLgl w:val="false"/>
      <w:suff w:val="tab"/>
      <w:lvlText w:val="·"/>
      <w:lvlJc w:val="left"/>
      <w:pPr>
        <w:ind w:left="2149" w:hanging="360"/>
      </w:pPr>
      <w:rPr>
        <w:rFonts w:hint="default" w:ascii="Symbol" w:hAnsi="Symbol" w:eastAsia="Symbol" w:cs="Symbol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hint="default" w:ascii="Symbol" w:hAnsi="Symbol" w:eastAsia="Symbol" w:cs="Symbol"/>
      </w:rPr>
    </w:lvl>
    <w:lvl w:ilvl="5">
      <w:start w:val="1"/>
      <w:numFmt w:val="bullet"/>
      <w:isLgl w:val="false"/>
      <w:suff w:val="tab"/>
      <w:lvlText w:val="·"/>
      <w:lvlJc w:val="left"/>
      <w:pPr>
        <w:ind w:left="4309" w:hanging="360"/>
      </w:pPr>
      <w:rPr>
        <w:rFonts w:hint="default" w:ascii="Symbol" w:hAnsi="Symbol" w:eastAsia="Symbol" w:cs="Symbol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hint="default" w:ascii="Symbol" w:hAnsi="Symbol" w:eastAsia="Symbol" w:cs="Symbol"/>
      </w:rPr>
    </w:lvl>
    <w:lvl w:ilvl="8">
      <w:start w:val="1"/>
      <w:numFmt w:val="bullet"/>
      <w:isLgl w:val="false"/>
      <w:suff w:val="tab"/>
      <w:lvlText w:val="·"/>
      <w:lvlJc w:val="left"/>
      <w:pPr>
        <w:ind w:left="6469" w:hanging="360"/>
      </w:pPr>
      <w:rPr>
        <w:rFonts w:hint="default" w:ascii="Symbol" w:hAnsi="Symbol" w:eastAsia="Symbol" w:cs="Symbol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·"/>
      <w:lvlJc w:val="left"/>
      <w:pPr>
        <w:ind w:left="1429" w:hanging="360"/>
      </w:pPr>
      <w:rPr>
        <w:rFonts w:hint="default" w:ascii="Symbol" w:hAnsi="Symbol" w:eastAsia="Symbol" w:cs="Symbol"/>
      </w:rPr>
    </w:lvl>
    <w:lvl w:ilvl="2">
      <w:start w:val="1"/>
      <w:numFmt w:val="bullet"/>
      <w:isLgl w:val="false"/>
      <w:suff w:val="tab"/>
      <w:lvlText w:val="·"/>
      <w:lvlJc w:val="left"/>
      <w:pPr>
        <w:ind w:left="2149" w:hanging="360"/>
      </w:pPr>
      <w:rPr>
        <w:rFonts w:hint="default" w:ascii="Symbol" w:hAnsi="Symbol" w:eastAsia="Symbol" w:cs="Symbol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hint="default" w:ascii="Symbol" w:hAnsi="Symbol" w:eastAsia="Symbol" w:cs="Symbol"/>
      </w:rPr>
    </w:lvl>
    <w:lvl w:ilvl="5">
      <w:start w:val="1"/>
      <w:numFmt w:val="bullet"/>
      <w:isLgl w:val="false"/>
      <w:suff w:val="tab"/>
      <w:lvlText w:val="·"/>
      <w:lvlJc w:val="left"/>
      <w:pPr>
        <w:ind w:left="4309" w:hanging="360"/>
      </w:pPr>
      <w:rPr>
        <w:rFonts w:hint="default" w:ascii="Symbol" w:hAnsi="Symbol" w:eastAsia="Symbol" w:cs="Symbol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hint="default" w:ascii="Symbol" w:hAnsi="Symbol" w:eastAsia="Symbol" w:cs="Symbol"/>
      </w:rPr>
    </w:lvl>
    <w:lvl w:ilvl="8">
      <w:start w:val="1"/>
      <w:numFmt w:val="bullet"/>
      <w:isLgl w:val="false"/>
      <w:suff w:val="tab"/>
      <w:lvlText w:val="·"/>
      <w:lvlJc w:val="left"/>
      <w:pPr>
        <w:ind w:left="6469" w:hanging="360"/>
      </w:pPr>
      <w:rPr>
        <w:rFonts w:hint="default" w:ascii="Symbol" w:hAnsi="Symbol" w:eastAsia="Symbol" w:cs="Symbol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·"/>
      <w:lvlJc w:val="left"/>
      <w:pPr>
        <w:ind w:left="1429" w:hanging="360"/>
      </w:pPr>
      <w:rPr>
        <w:rFonts w:hint="default" w:ascii="Symbol" w:hAnsi="Symbol" w:eastAsia="Symbol" w:cs="Symbol"/>
      </w:rPr>
    </w:lvl>
    <w:lvl w:ilvl="2">
      <w:start w:val="1"/>
      <w:numFmt w:val="bullet"/>
      <w:isLgl w:val="false"/>
      <w:suff w:val="tab"/>
      <w:lvlText w:val="·"/>
      <w:lvlJc w:val="left"/>
      <w:pPr>
        <w:ind w:left="2149" w:hanging="360"/>
      </w:pPr>
      <w:rPr>
        <w:rFonts w:hint="default" w:ascii="Symbol" w:hAnsi="Symbol" w:eastAsia="Symbol" w:cs="Symbol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hint="default" w:ascii="Symbol" w:hAnsi="Symbol" w:eastAsia="Symbol" w:cs="Symbol"/>
      </w:rPr>
    </w:lvl>
    <w:lvl w:ilvl="5">
      <w:start w:val="1"/>
      <w:numFmt w:val="bullet"/>
      <w:isLgl w:val="false"/>
      <w:suff w:val="tab"/>
      <w:lvlText w:val="·"/>
      <w:lvlJc w:val="left"/>
      <w:pPr>
        <w:ind w:left="4309" w:hanging="360"/>
      </w:pPr>
      <w:rPr>
        <w:rFonts w:hint="default" w:ascii="Symbol" w:hAnsi="Symbol" w:eastAsia="Symbol" w:cs="Symbol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hint="default" w:ascii="Symbol" w:hAnsi="Symbol" w:eastAsia="Symbol" w:cs="Symbol"/>
      </w:rPr>
    </w:lvl>
    <w:lvl w:ilvl="8">
      <w:start w:val="1"/>
      <w:numFmt w:val="bullet"/>
      <w:isLgl w:val="false"/>
      <w:suff w:val="tab"/>
      <w:lvlText w:val="·"/>
      <w:lvlJc w:val="left"/>
      <w:pPr>
        <w:ind w:left="6469" w:hanging="360"/>
      </w:pPr>
      <w:rPr>
        <w:rFonts w:hint="default" w:ascii="Symbol" w:hAnsi="Symbol" w:eastAsia="Symbol" w:cs="Symbol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·"/>
      <w:lvlJc w:val="left"/>
      <w:pPr>
        <w:ind w:left="1429" w:hanging="360"/>
      </w:pPr>
      <w:rPr>
        <w:rFonts w:hint="default" w:ascii="Symbol" w:hAnsi="Symbol" w:eastAsia="Symbol" w:cs="Symbol"/>
      </w:rPr>
    </w:lvl>
    <w:lvl w:ilvl="2">
      <w:start w:val="1"/>
      <w:numFmt w:val="bullet"/>
      <w:isLgl w:val="false"/>
      <w:suff w:val="tab"/>
      <w:lvlText w:val="·"/>
      <w:lvlJc w:val="left"/>
      <w:pPr>
        <w:ind w:left="2149" w:hanging="360"/>
      </w:pPr>
      <w:rPr>
        <w:rFonts w:hint="default" w:ascii="Symbol" w:hAnsi="Symbol" w:eastAsia="Symbol" w:cs="Symbol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hint="default" w:ascii="Symbol" w:hAnsi="Symbol" w:eastAsia="Symbol" w:cs="Symbol"/>
      </w:rPr>
    </w:lvl>
    <w:lvl w:ilvl="5">
      <w:start w:val="1"/>
      <w:numFmt w:val="bullet"/>
      <w:isLgl w:val="false"/>
      <w:suff w:val="tab"/>
      <w:lvlText w:val="·"/>
      <w:lvlJc w:val="left"/>
      <w:pPr>
        <w:ind w:left="4309" w:hanging="360"/>
      </w:pPr>
      <w:rPr>
        <w:rFonts w:hint="default" w:ascii="Symbol" w:hAnsi="Symbol" w:eastAsia="Symbol" w:cs="Symbol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hint="default" w:ascii="Symbol" w:hAnsi="Symbol" w:eastAsia="Symbol" w:cs="Symbol"/>
      </w:rPr>
    </w:lvl>
    <w:lvl w:ilvl="8">
      <w:start w:val="1"/>
      <w:numFmt w:val="bullet"/>
      <w:isLgl w:val="false"/>
      <w:suff w:val="tab"/>
      <w:lvlText w:val="·"/>
      <w:lvlJc w:val="left"/>
      <w:pPr>
        <w:ind w:left="6469" w:hanging="360"/>
      </w:pPr>
      <w:rPr>
        <w:rFonts w:hint="default" w:ascii="Symbol" w:hAnsi="Symbol" w:eastAsia="Symbol" w:cs="Symbol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·"/>
      <w:lvlJc w:val="left"/>
      <w:pPr>
        <w:ind w:left="1429" w:hanging="360"/>
      </w:pPr>
      <w:rPr>
        <w:rFonts w:hint="default" w:ascii="Symbol" w:hAnsi="Symbol" w:eastAsia="Symbol" w:cs="Symbol"/>
      </w:rPr>
    </w:lvl>
    <w:lvl w:ilvl="2">
      <w:start w:val="1"/>
      <w:numFmt w:val="bullet"/>
      <w:isLgl w:val="false"/>
      <w:suff w:val="tab"/>
      <w:lvlText w:val="·"/>
      <w:lvlJc w:val="left"/>
      <w:pPr>
        <w:ind w:left="2149" w:hanging="360"/>
      </w:pPr>
      <w:rPr>
        <w:rFonts w:hint="default" w:ascii="Symbol" w:hAnsi="Symbol" w:eastAsia="Symbol" w:cs="Symbol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hint="default" w:ascii="Symbol" w:hAnsi="Symbol" w:eastAsia="Symbol" w:cs="Symbol"/>
      </w:rPr>
    </w:lvl>
    <w:lvl w:ilvl="5">
      <w:start w:val="1"/>
      <w:numFmt w:val="bullet"/>
      <w:isLgl w:val="false"/>
      <w:suff w:val="tab"/>
      <w:lvlText w:val="·"/>
      <w:lvlJc w:val="left"/>
      <w:pPr>
        <w:ind w:left="4309" w:hanging="360"/>
      </w:pPr>
      <w:rPr>
        <w:rFonts w:hint="default" w:ascii="Symbol" w:hAnsi="Symbol" w:eastAsia="Symbol" w:cs="Symbol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hint="default" w:ascii="Symbol" w:hAnsi="Symbol" w:eastAsia="Symbol" w:cs="Symbol"/>
      </w:rPr>
    </w:lvl>
    <w:lvl w:ilvl="8">
      <w:start w:val="1"/>
      <w:numFmt w:val="bullet"/>
      <w:isLgl w:val="false"/>
      <w:suff w:val="tab"/>
      <w:lvlText w:val="·"/>
      <w:lvlJc w:val="left"/>
      <w:pPr>
        <w:ind w:left="6469" w:hanging="360"/>
      </w:pPr>
      <w:rPr>
        <w:rFonts w:hint="default" w:ascii="Symbol" w:hAnsi="Symbol" w:eastAsia="Symbol" w:cs="Symbol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·"/>
      <w:lvlJc w:val="left"/>
      <w:pPr>
        <w:ind w:left="1429" w:hanging="360"/>
      </w:pPr>
      <w:rPr>
        <w:rFonts w:hint="default" w:ascii="Symbol" w:hAnsi="Symbol" w:eastAsia="Symbol" w:cs="Symbol"/>
      </w:rPr>
    </w:lvl>
    <w:lvl w:ilvl="2">
      <w:start w:val="1"/>
      <w:numFmt w:val="bullet"/>
      <w:isLgl w:val="false"/>
      <w:suff w:val="tab"/>
      <w:lvlText w:val="·"/>
      <w:lvlJc w:val="left"/>
      <w:pPr>
        <w:ind w:left="2149" w:hanging="360"/>
      </w:pPr>
      <w:rPr>
        <w:rFonts w:hint="default" w:ascii="Symbol" w:hAnsi="Symbol" w:eastAsia="Symbol" w:cs="Symbol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hint="default" w:ascii="Symbol" w:hAnsi="Symbol" w:eastAsia="Symbol" w:cs="Symbol"/>
      </w:rPr>
    </w:lvl>
    <w:lvl w:ilvl="5">
      <w:start w:val="1"/>
      <w:numFmt w:val="bullet"/>
      <w:isLgl w:val="false"/>
      <w:suff w:val="tab"/>
      <w:lvlText w:val="·"/>
      <w:lvlJc w:val="left"/>
      <w:pPr>
        <w:ind w:left="4309" w:hanging="360"/>
      </w:pPr>
      <w:rPr>
        <w:rFonts w:hint="default" w:ascii="Symbol" w:hAnsi="Symbol" w:eastAsia="Symbol" w:cs="Symbol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hint="default" w:ascii="Symbol" w:hAnsi="Symbol" w:eastAsia="Symbol" w:cs="Symbol"/>
      </w:rPr>
    </w:lvl>
    <w:lvl w:ilvl="8">
      <w:start w:val="1"/>
      <w:numFmt w:val="bullet"/>
      <w:isLgl w:val="false"/>
      <w:suff w:val="tab"/>
      <w:lvlText w:val="·"/>
      <w:lvlJc w:val="left"/>
      <w:pPr>
        <w:ind w:left="6469" w:hanging="360"/>
      </w:pPr>
      <w:rPr>
        <w:rFonts w:hint="default" w:ascii="Symbol" w:hAnsi="Symbol" w:eastAsia="Symbol" w:cs="Symbol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·"/>
      <w:lvlJc w:val="left"/>
      <w:pPr>
        <w:ind w:left="1429" w:hanging="360"/>
      </w:pPr>
      <w:rPr>
        <w:rFonts w:hint="default" w:ascii="Symbol" w:hAnsi="Symbol" w:eastAsia="Symbol" w:cs="Symbol"/>
      </w:rPr>
    </w:lvl>
    <w:lvl w:ilvl="2">
      <w:start w:val="1"/>
      <w:numFmt w:val="bullet"/>
      <w:isLgl w:val="false"/>
      <w:suff w:val="tab"/>
      <w:lvlText w:val="·"/>
      <w:lvlJc w:val="left"/>
      <w:pPr>
        <w:ind w:left="2149" w:hanging="360"/>
      </w:pPr>
      <w:rPr>
        <w:rFonts w:hint="default" w:ascii="Symbol" w:hAnsi="Symbol" w:eastAsia="Symbol" w:cs="Symbol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hint="default" w:ascii="Symbol" w:hAnsi="Symbol" w:eastAsia="Symbol" w:cs="Symbol"/>
      </w:rPr>
    </w:lvl>
    <w:lvl w:ilvl="5">
      <w:start w:val="1"/>
      <w:numFmt w:val="bullet"/>
      <w:isLgl w:val="false"/>
      <w:suff w:val="tab"/>
      <w:lvlText w:val="·"/>
      <w:lvlJc w:val="left"/>
      <w:pPr>
        <w:ind w:left="4309" w:hanging="360"/>
      </w:pPr>
      <w:rPr>
        <w:rFonts w:hint="default" w:ascii="Symbol" w:hAnsi="Symbol" w:eastAsia="Symbol" w:cs="Symbol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hint="default" w:ascii="Symbol" w:hAnsi="Symbol" w:eastAsia="Symbol" w:cs="Symbol"/>
      </w:rPr>
    </w:lvl>
    <w:lvl w:ilvl="8">
      <w:start w:val="1"/>
      <w:numFmt w:val="bullet"/>
      <w:isLgl w:val="false"/>
      <w:suff w:val="tab"/>
      <w:lvlText w:val="·"/>
      <w:lvlJc w:val="left"/>
      <w:pPr>
        <w:ind w:left="6469" w:hanging="360"/>
      </w:pPr>
      <w:rPr>
        <w:rFonts w:hint="default" w:ascii="Symbol" w:hAnsi="Symbol" w:eastAsia="Symbol" w:cs="Symbol"/>
      </w:r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  <w:color w:val="000000"/>
        <w:sz w:val="21"/>
      </w:rPr>
    </w:lvl>
    <w:lvl w:ilvl="1">
      <w:start w:val="1"/>
      <w:numFmt w:val="bullet"/>
      <w:isLgl w:val="false"/>
      <w:suff w:val="tab"/>
      <w:lvlText w:val="·"/>
      <w:lvlJc w:val="left"/>
      <w:pPr>
        <w:ind w:left="1429" w:hanging="360"/>
      </w:pPr>
      <w:rPr>
        <w:rFonts w:hint="default" w:ascii="Symbol" w:hAnsi="Symbol" w:eastAsia="Symbol" w:cs="Symbol"/>
        <w:color w:val="000000"/>
        <w:sz w:val="21"/>
      </w:rPr>
    </w:lvl>
    <w:lvl w:ilvl="2">
      <w:start w:val="1"/>
      <w:numFmt w:val="bullet"/>
      <w:isLgl w:val="false"/>
      <w:suff w:val="tab"/>
      <w:lvlText w:val="·"/>
      <w:lvlJc w:val="left"/>
      <w:pPr>
        <w:ind w:left="2149" w:hanging="360"/>
      </w:pPr>
      <w:rPr>
        <w:rFonts w:hint="default" w:ascii="Symbol" w:hAnsi="Symbol" w:eastAsia="Symbol" w:cs="Symbol"/>
        <w:color w:val="000000"/>
        <w:sz w:val="21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  <w:color w:val="000000"/>
        <w:sz w:val="21"/>
      </w:rPr>
    </w:lvl>
    <w:lvl w:ilvl="4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hint="default" w:ascii="Symbol" w:hAnsi="Symbol" w:eastAsia="Symbol" w:cs="Symbol"/>
        <w:color w:val="000000"/>
        <w:sz w:val="21"/>
      </w:rPr>
    </w:lvl>
    <w:lvl w:ilvl="5">
      <w:start w:val="1"/>
      <w:numFmt w:val="bullet"/>
      <w:isLgl w:val="false"/>
      <w:suff w:val="tab"/>
      <w:lvlText w:val="·"/>
      <w:lvlJc w:val="left"/>
      <w:pPr>
        <w:ind w:left="4309" w:hanging="360"/>
      </w:pPr>
      <w:rPr>
        <w:rFonts w:hint="default" w:ascii="Symbol" w:hAnsi="Symbol" w:eastAsia="Symbol" w:cs="Symbol"/>
        <w:color w:val="000000"/>
        <w:sz w:val="21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  <w:color w:val="000000"/>
        <w:sz w:val="21"/>
      </w:rPr>
    </w:lvl>
    <w:lvl w:ilvl="7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hint="default" w:ascii="Symbol" w:hAnsi="Symbol" w:eastAsia="Symbol" w:cs="Symbol"/>
        <w:color w:val="000000"/>
        <w:sz w:val="21"/>
      </w:rPr>
    </w:lvl>
    <w:lvl w:ilvl="8">
      <w:start w:val="1"/>
      <w:numFmt w:val="bullet"/>
      <w:isLgl w:val="false"/>
      <w:suff w:val="tab"/>
      <w:lvlText w:val="·"/>
      <w:lvlJc w:val="left"/>
      <w:pPr>
        <w:ind w:left="6469" w:hanging="360"/>
      </w:pPr>
      <w:rPr>
        <w:rFonts w:hint="default" w:ascii="Symbol" w:hAnsi="Symbol" w:eastAsia="Symbol" w:cs="Symbol"/>
        <w:color w:val="000000"/>
        <w:sz w:val="21"/>
      </w:r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  <w:color w:val="000000"/>
        <w:sz w:val="21"/>
      </w:rPr>
    </w:lvl>
    <w:lvl w:ilvl="1">
      <w:start w:val="1"/>
      <w:numFmt w:val="bullet"/>
      <w:isLgl w:val="false"/>
      <w:suff w:val="tab"/>
      <w:lvlText w:val="·"/>
      <w:lvlJc w:val="left"/>
      <w:pPr>
        <w:ind w:left="1429" w:hanging="360"/>
      </w:pPr>
      <w:rPr>
        <w:rFonts w:hint="default" w:ascii="Symbol" w:hAnsi="Symbol" w:eastAsia="Symbol" w:cs="Symbol"/>
        <w:color w:val="000000"/>
        <w:sz w:val="21"/>
      </w:rPr>
    </w:lvl>
    <w:lvl w:ilvl="2">
      <w:start w:val="1"/>
      <w:numFmt w:val="bullet"/>
      <w:isLgl w:val="false"/>
      <w:suff w:val="tab"/>
      <w:lvlText w:val="·"/>
      <w:lvlJc w:val="left"/>
      <w:pPr>
        <w:ind w:left="2149" w:hanging="360"/>
      </w:pPr>
      <w:rPr>
        <w:rFonts w:hint="default" w:ascii="Symbol" w:hAnsi="Symbol" w:eastAsia="Symbol" w:cs="Symbol"/>
        <w:color w:val="000000"/>
        <w:sz w:val="21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  <w:color w:val="000000"/>
        <w:sz w:val="21"/>
      </w:rPr>
    </w:lvl>
    <w:lvl w:ilvl="4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hint="default" w:ascii="Symbol" w:hAnsi="Symbol" w:eastAsia="Symbol" w:cs="Symbol"/>
        <w:color w:val="000000"/>
        <w:sz w:val="21"/>
      </w:rPr>
    </w:lvl>
    <w:lvl w:ilvl="5">
      <w:start w:val="1"/>
      <w:numFmt w:val="bullet"/>
      <w:isLgl w:val="false"/>
      <w:suff w:val="tab"/>
      <w:lvlText w:val="·"/>
      <w:lvlJc w:val="left"/>
      <w:pPr>
        <w:ind w:left="4309" w:hanging="360"/>
      </w:pPr>
      <w:rPr>
        <w:rFonts w:hint="default" w:ascii="Symbol" w:hAnsi="Symbol" w:eastAsia="Symbol" w:cs="Symbol"/>
        <w:color w:val="000000"/>
        <w:sz w:val="21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  <w:color w:val="000000"/>
        <w:sz w:val="21"/>
      </w:rPr>
    </w:lvl>
    <w:lvl w:ilvl="7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hint="default" w:ascii="Symbol" w:hAnsi="Symbol" w:eastAsia="Symbol" w:cs="Symbol"/>
        <w:color w:val="000000"/>
        <w:sz w:val="21"/>
      </w:rPr>
    </w:lvl>
    <w:lvl w:ilvl="8">
      <w:start w:val="1"/>
      <w:numFmt w:val="bullet"/>
      <w:isLgl w:val="false"/>
      <w:suff w:val="tab"/>
      <w:lvlText w:val="·"/>
      <w:lvlJc w:val="left"/>
      <w:pPr>
        <w:ind w:left="6469" w:hanging="360"/>
      </w:pPr>
      <w:rPr>
        <w:rFonts w:hint="default" w:ascii="Symbol" w:hAnsi="Symbol" w:eastAsia="Symbol" w:cs="Symbol"/>
        <w:color w:val="000000"/>
        <w:sz w:val="21"/>
      </w:r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  <w:color w:val="000000"/>
        <w:sz w:val="21"/>
      </w:rPr>
    </w:lvl>
    <w:lvl w:ilvl="1">
      <w:start w:val="1"/>
      <w:numFmt w:val="bullet"/>
      <w:isLgl w:val="false"/>
      <w:suff w:val="tab"/>
      <w:lvlText w:val="·"/>
      <w:lvlJc w:val="left"/>
      <w:pPr>
        <w:ind w:left="1429" w:hanging="360"/>
      </w:pPr>
      <w:rPr>
        <w:rFonts w:hint="default" w:ascii="Symbol" w:hAnsi="Symbol" w:eastAsia="Symbol" w:cs="Symbol"/>
        <w:color w:val="000000"/>
        <w:sz w:val="21"/>
      </w:rPr>
    </w:lvl>
    <w:lvl w:ilvl="2">
      <w:start w:val="1"/>
      <w:numFmt w:val="bullet"/>
      <w:isLgl w:val="false"/>
      <w:suff w:val="tab"/>
      <w:lvlText w:val="·"/>
      <w:lvlJc w:val="left"/>
      <w:pPr>
        <w:ind w:left="2149" w:hanging="360"/>
      </w:pPr>
      <w:rPr>
        <w:rFonts w:hint="default" w:ascii="Symbol" w:hAnsi="Symbol" w:eastAsia="Symbol" w:cs="Symbol"/>
        <w:color w:val="000000"/>
        <w:sz w:val="21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  <w:color w:val="000000"/>
        <w:sz w:val="21"/>
      </w:rPr>
    </w:lvl>
    <w:lvl w:ilvl="4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hint="default" w:ascii="Symbol" w:hAnsi="Symbol" w:eastAsia="Symbol" w:cs="Symbol"/>
        <w:color w:val="000000"/>
        <w:sz w:val="21"/>
      </w:rPr>
    </w:lvl>
    <w:lvl w:ilvl="5">
      <w:start w:val="1"/>
      <w:numFmt w:val="bullet"/>
      <w:isLgl w:val="false"/>
      <w:suff w:val="tab"/>
      <w:lvlText w:val="·"/>
      <w:lvlJc w:val="left"/>
      <w:pPr>
        <w:ind w:left="4309" w:hanging="360"/>
      </w:pPr>
      <w:rPr>
        <w:rFonts w:hint="default" w:ascii="Symbol" w:hAnsi="Symbol" w:eastAsia="Symbol" w:cs="Symbol"/>
        <w:color w:val="000000"/>
        <w:sz w:val="21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  <w:color w:val="000000"/>
        <w:sz w:val="21"/>
      </w:rPr>
    </w:lvl>
    <w:lvl w:ilvl="7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hint="default" w:ascii="Symbol" w:hAnsi="Symbol" w:eastAsia="Symbol" w:cs="Symbol"/>
        <w:color w:val="000000"/>
        <w:sz w:val="21"/>
      </w:rPr>
    </w:lvl>
    <w:lvl w:ilvl="8">
      <w:start w:val="1"/>
      <w:numFmt w:val="bullet"/>
      <w:isLgl w:val="false"/>
      <w:suff w:val="tab"/>
      <w:lvlText w:val="·"/>
      <w:lvlJc w:val="left"/>
      <w:pPr>
        <w:ind w:left="6469" w:hanging="360"/>
      </w:pPr>
      <w:rPr>
        <w:rFonts w:hint="default" w:ascii="Symbol" w:hAnsi="Symbol" w:eastAsia="Symbol" w:cs="Symbol"/>
        <w:color w:val="000000"/>
        <w:sz w:val="21"/>
      </w:r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  <w:color w:val="000000"/>
        <w:sz w:val="21"/>
      </w:rPr>
    </w:lvl>
    <w:lvl w:ilvl="1">
      <w:start w:val="1"/>
      <w:numFmt w:val="bullet"/>
      <w:isLgl w:val="false"/>
      <w:suff w:val="tab"/>
      <w:lvlText w:val="·"/>
      <w:lvlJc w:val="left"/>
      <w:pPr>
        <w:ind w:left="1429" w:hanging="360"/>
      </w:pPr>
      <w:rPr>
        <w:rFonts w:hint="default" w:ascii="Symbol" w:hAnsi="Symbol" w:eastAsia="Symbol" w:cs="Symbol"/>
        <w:color w:val="000000"/>
        <w:sz w:val="21"/>
      </w:rPr>
    </w:lvl>
    <w:lvl w:ilvl="2">
      <w:start w:val="1"/>
      <w:numFmt w:val="bullet"/>
      <w:isLgl w:val="false"/>
      <w:suff w:val="tab"/>
      <w:lvlText w:val="·"/>
      <w:lvlJc w:val="left"/>
      <w:pPr>
        <w:ind w:left="2149" w:hanging="360"/>
      </w:pPr>
      <w:rPr>
        <w:rFonts w:hint="default" w:ascii="Symbol" w:hAnsi="Symbol" w:eastAsia="Symbol" w:cs="Symbol"/>
        <w:color w:val="000000"/>
        <w:sz w:val="21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  <w:color w:val="000000"/>
        <w:sz w:val="21"/>
      </w:rPr>
    </w:lvl>
    <w:lvl w:ilvl="4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hint="default" w:ascii="Symbol" w:hAnsi="Symbol" w:eastAsia="Symbol" w:cs="Symbol"/>
        <w:color w:val="000000"/>
        <w:sz w:val="21"/>
      </w:rPr>
    </w:lvl>
    <w:lvl w:ilvl="5">
      <w:start w:val="1"/>
      <w:numFmt w:val="bullet"/>
      <w:isLgl w:val="false"/>
      <w:suff w:val="tab"/>
      <w:lvlText w:val="·"/>
      <w:lvlJc w:val="left"/>
      <w:pPr>
        <w:ind w:left="4309" w:hanging="360"/>
      </w:pPr>
      <w:rPr>
        <w:rFonts w:hint="default" w:ascii="Symbol" w:hAnsi="Symbol" w:eastAsia="Symbol" w:cs="Symbol"/>
        <w:color w:val="000000"/>
        <w:sz w:val="21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  <w:color w:val="000000"/>
        <w:sz w:val="21"/>
      </w:rPr>
    </w:lvl>
    <w:lvl w:ilvl="7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hint="default" w:ascii="Symbol" w:hAnsi="Symbol" w:eastAsia="Symbol" w:cs="Symbol"/>
        <w:color w:val="000000"/>
        <w:sz w:val="21"/>
      </w:rPr>
    </w:lvl>
    <w:lvl w:ilvl="8">
      <w:start w:val="1"/>
      <w:numFmt w:val="bullet"/>
      <w:isLgl w:val="false"/>
      <w:suff w:val="tab"/>
      <w:lvlText w:val="·"/>
      <w:lvlJc w:val="left"/>
      <w:pPr>
        <w:ind w:left="6469" w:hanging="360"/>
      </w:pPr>
      <w:rPr>
        <w:rFonts w:hint="default" w:ascii="Symbol" w:hAnsi="Symbol" w:eastAsia="Symbol" w:cs="Symbol"/>
        <w:color w:val="000000"/>
        <w:sz w:val="21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88">
    <w:name w:val="Heading 1"/>
    <w:basedOn w:val="864"/>
    <w:next w:val="864"/>
    <w:link w:val="689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89">
    <w:name w:val="Heading 1 Char"/>
    <w:basedOn w:val="865"/>
    <w:link w:val="688"/>
    <w:uiPriority w:val="9"/>
    <w:rPr>
      <w:rFonts w:ascii="Arial" w:hAnsi="Arial" w:eastAsia="Arial" w:cs="Arial"/>
      <w:sz w:val="40"/>
      <w:szCs w:val="40"/>
    </w:rPr>
  </w:style>
  <w:style w:type="paragraph" w:styleId="690">
    <w:name w:val="Heading 2"/>
    <w:basedOn w:val="864"/>
    <w:next w:val="864"/>
    <w:link w:val="691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91">
    <w:name w:val="Heading 2 Char"/>
    <w:basedOn w:val="865"/>
    <w:link w:val="690"/>
    <w:uiPriority w:val="9"/>
    <w:rPr>
      <w:rFonts w:ascii="Arial" w:hAnsi="Arial" w:eastAsia="Arial" w:cs="Arial"/>
      <w:sz w:val="34"/>
    </w:rPr>
  </w:style>
  <w:style w:type="paragraph" w:styleId="692">
    <w:name w:val="Heading 3"/>
    <w:basedOn w:val="864"/>
    <w:next w:val="864"/>
    <w:link w:val="693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93">
    <w:name w:val="Heading 3 Char"/>
    <w:basedOn w:val="865"/>
    <w:link w:val="692"/>
    <w:uiPriority w:val="9"/>
    <w:rPr>
      <w:rFonts w:ascii="Arial" w:hAnsi="Arial" w:eastAsia="Arial" w:cs="Arial"/>
      <w:sz w:val="30"/>
      <w:szCs w:val="30"/>
    </w:rPr>
  </w:style>
  <w:style w:type="paragraph" w:styleId="694">
    <w:name w:val="Heading 4"/>
    <w:basedOn w:val="864"/>
    <w:next w:val="864"/>
    <w:link w:val="695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95">
    <w:name w:val="Heading 4 Char"/>
    <w:basedOn w:val="865"/>
    <w:link w:val="694"/>
    <w:uiPriority w:val="9"/>
    <w:rPr>
      <w:rFonts w:ascii="Arial" w:hAnsi="Arial" w:eastAsia="Arial" w:cs="Arial"/>
      <w:b/>
      <w:bCs/>
      <w:sz w:val="26"/>
      <w:szCs w:val="26"/>
    </w:rPr>
  </w:style>
  <w:style w:type="paragraph" w:styleId="696">
    <w:name w:val="Heading 5"/>
    <w:basedOn w:val="864"/>
    <w:next w:val="864"/>
    <w:link w:val="697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97">
    <w:name w:val="Heading 5 Char"/>
    <w:basedOn w:val="865"/>
    <w:link w:val="696"/>
    <w:uiPriority w:val="9"/>
    <w:rPr>
      <w:rFonts w:ascii="Arial" w:hAnsi="Arial" w:eastAsia="Arial" w:cs="Arial"/>
      <w:b/>
      <w:bCs/>
      <w:sz w:val="24"/>
      <w:szCs w:val="24"/>
    </w:rPr>
  </w:style>
  <w:style w:type="paragraph" w:styleId="698">
    <w:name w:val="Heading 6"/>
    <w:basedOn w:val="864"/>
    <w:next w:val="864"/>
    <w:link w:val="699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99">
    <w:name w:val="Heading 6 Char"/>
    <w:basedOn w:val="865"/>
    <w:link w:val="698"/>
    <w:uiPriority w:val="9"/>
    <w:rPr>
      <w:rFonts w:ascii="Arial" w:hAnsi="Arial" w:eastAsia="Arial" w:cs="Arial"/>
      <w:b/>
      <w:bCs/>
      <w:sz w:val="22"/>
      <w:szCs w:val="22"/>
    </w:rPr>
  </w:style>
  <w:style w:type="paragraph" w:styleId="700">
    <w:name w:val="Heading 7"/>
    <w:basedOn w:val="864"/>
    <w:next w:val="864"/>
    <w:link w:val="701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01">
    <w:name w:val="Heading 7 Char"/>
    <w:basedOn w:val="865"/>
    <w:link w:val="70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02">
    <w:name w:val="Heading 8"/>
    <w:basedOn w:val="864"/>
    <w:next w:val="864"/>
    <w:link w:val="703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03">
    <w:name w:val="Heading 8 Char"/>
    <w:basedOn w:val="865"/>
    <w:link w:val="702"/>
    <w:uiPriority w:val="9"/>
    <w:rPr>
      <w:rFonts w:ascii="Arial" w:hAnsi="Arial" w:eastAsia="Arial" w:cs="Arial"/>
      <w:i/>
      <w:iCs/>
      <w:sz w:val="22"/>
      <w:szCs w:val="22"/>
    </w:rPr>
  </w:style>
  <w:style w:type="paragraph" w:styleId="704">
    <w:name w:val="Heading 9"/>
    <w:basedOn w:val="864"/>
    <w:next w:val="864"/>
    <w:link w:val="705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05">
    <w:name w:val="Heading 9 Char"/>
    <w:basedOn w:val="865"/>
    <w:link w:val="704"/>
    <w:uiPriority w:val="9"/>
    <w:rPr>
      <w:rFonts w:ascii="Arial" w:hAnsi="Arial" w:eastAsia="Arial" w:cs="Arial"/>
      <w:i/>
      <w:iCs/>
      <w:sz w:val="21"/>
      <w:szCs w:val="21"/>
    </w:rPr>
  </w:style>
  <w:style w:type="paragraph" w:styleId="706">
    <w:name w:val="No Spacing"/>
    <w:uiPriority w:val="1"/>
    <w:qFormat/>
    <w:pPr>
      <w:spacing w:before="0" w:after="0" w:line="240" w:lineRule="auto"/>
    </w:pPr>
  </w:style>
  <w:style w:type="paragraph" w:styleId="707">
    <w:name w:val="Title"/>
    <w:basedOn w:val="864"/>
    <w:next w:val="864"/>
    <w:link w:val="708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08">
    <w:name w:val="Title Char"/>
    <w:basedOn w:val="865"/>
    <w:link w:val="707"/>
    <w:uiPriority w:val="10"/>
    <w:rPr>
      <w:sz w:val="48"/>
      <w:szCs w:val="48"/>
    </w:rPr>
  </w:style>
  <w:style w:type="paragraph" w:styleId="709">
    <w:name w:val="Subtitle"/>
    <w:basedOn w:val="864"/>
    <w:next w:val="864"/>
    <w:link w:val="710"/>
    <w:uiPriority w:val="11"/>
    <w:qFormat/>
    <w:pPr>
      <w:spacing w:before="200" w:after="200"/>
    </w:pPr>
    <w:rPr>
      <w:sz w:val="24"/>
      <w:szCs w:val="24"/>
    </w:rPr>
  </w:style>
  <w:style w:type="character" w:styleId="710">
    <w:name w:val="Subtitle Char"/>
    <w:basedOn w:val="865"/>
    <w:link w:val="709"/>
    <w:uiPriority w:val="11"/>
    <w:rPr>
      <w:sz w:val="24"/>
      <w:szCs w:val="24"/>
    </w:rPr>
  </w:style>
  <w:style w:type="paragraph" w:styleId="711">
    <w:name w:val="Quote"/>
    <w:basedOn w:val="864"/>
    <w:next w:val="864"/>
    <w:link w:val="712"/>
    <w:uiPriority w:val="29"/>
    <w:qFormat/>
    <w:pPr>
      <w:ind w:left="720" w:right="720"/>
    </w:pPr>
    <w:rPr>
      <w:i/>
    </w:rPr>
  </w:style>
  <w:style w:type="character" w:styleId="712">
    <w:name w:val="Quote Char"/>
    <w:link w:val="711"/>
    <w:uiPriority w:val="29"/>
    <w:rPr>
      <w:i/>
    </w:rPr>
  </w:style>
  <w:style w:type="paragraph" w:styleId="713">
    <w:name w:val="Intense Quote"/>
    <w:basedOn w:val="864"/>
    <w:next w:val="864"/>
    <w:link w:val="714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14">
    <w:name w:val="Intense Quote Char"/>
    <w:link w:val="713"/>
    <w:uiPriority w:val="30"/>
    <w:rPr>
      <w:i/>
    </w:rPr>
  </w:style>
  <w:style w:type="paragraph" w:styleId="715">
    <w:name w:val="Header"/>
    <w:basedOn w:val="864"/>
    <w:link w:val="71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16">
    <w:name w:val="Header Char"/>
    <w:basedOn w:val="865"/>
    <w:link w:val="715"/>
    <w:uiPriority w:val="99"/>
  </w:style>
  <w:style w:type="paragraph" w:styleId="717">
    <w:name w:val="Footer"/>
    <w:basedOn w:val="864"/>
    <w:link w:val="720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18">
    <w:name w:val="Footer Char"/>
    <w:basedOn w:val="865"/>
    <w:link w:val="717"/>
    <w:uiPriority w:val="99"/>
  </w:style>
  <w:style w:type="paragraph" w:styleId="719">
    <w:name w:val="Caption"/>
    <w:basedOn w:val="864"/>
    <w:next w:val="864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20">
    <w:name w:val="Caption Char"/>
    <w:basedOn w:val="719"/>
    <w:link w:val="717"/>
    <w:uiPriority w:val="99"/>
  </w:style>
  <w:style w:type="table" w:styleId="721">
    <w:name w:val="Table Grid"/>
    <w:basedOn w:val="866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2">
    <w:name w:val="Table Grid Light"/>
    <w:basedOn w:val="86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3">
    <w:name w:val="Plain Table 1"/>
    <w:basedOn w:val="86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4">
    <w:name w:val="Plain Table 2"/>
    <w:basedOn w:val="866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5">
    <w:name w:val="Plain Table 3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26">
    <w:name w:val="Plain Table 4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7">
    <w:name w:val="Plain Table 5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28">
    <w:name w:val="Grid Table 1 Light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9">
    <w:name w:val="Grid Table 1 Light - Accent 1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0">
    <w:name w:val="Grid Table 1 Light - Accent 2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1">
    <w:name w:val="Grid Table 1 Light - Accent 3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2">
    <w:name w:val="Grid Table 1 Light - Accent 4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3">
    <w:name w:val="Grid Table 1 Light - Accent 5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4">
    <w:name w:val="Grid Table 1 Light - Accent 6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5">
    <w:name w:val="Grid Table 2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2 - Accent 1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2 - Accent 2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2 - Accent 3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2 - Accent 4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2 - Accent 5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2 - Accent 6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3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3 - Accent 1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3 - Accent 2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3 - Accent 3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3 - Accent 4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3 - Accent 5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3 - Accent 6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4"/>
    <w:basedOn w:val="86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50">
    <w:name w:val="Grid Table 4 - Accent 1"/>
    <w:basedOn w:val="86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51">
    <w:name w:val="Grid Table 4 - Accent 2"/>
    <w:basedOn w:val="86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52">
    <w:name w:val="Grid Table 4 - Accent 3"/>
    <w:basedOn w:val="86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53">
    <w:name w:val="Grid Table 4 - Accent 4"/>
    <w:basedOn w:val="86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54">
    <w:name w:val="Grid Table 4 - Accent 5"/>
    <w:basedOn w:val="86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55">
    <w:name w:val="Grid Table 4 - Accent 6"/>
    <w:basedOn w:val="86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56">
    <w:name w:val="Grid Table 5 Dark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57">
    <w:name w:val="Grid Table 5 Dark- Accent 1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58">
    <w:name w:val="Grid Table 5 Dark - Accent 2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59">
    <w:name w:val="Grid Table 5 Dark - Accent 3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60">
    <w:name w:val="Grid Table 5 Dark- Accent 4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61">
    <w:name w:val="Grid Table 5 Dark - Accent 5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62">
    <w:name w:val="Grid Table 5 Dark - Accent 6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63">
    <w:name w:val="Grid Table 6 Colorful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64">
    <w:name w:val="Grid Table 6 Colorful - Accent 1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65">
    <w:name w:val="Grid Table 6 Colorful - Accent 2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66">
    <w:name w:val="Grid Table 6 Colorful - Accent 3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67">
    <w:name w:val="Grid Table 6 Colorful - Accent 4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68">
    <w:name w:val="Grid Table 6 Colorful - Accent 5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69">
    <w:name w:val="Grid Table 6 Colorful - Accent 6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70">
    <w:name w:val="Grid Table 7 Colorful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Grid Table 7 Colorful - Accent 1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Grid Table 7 Colorful - Accent 2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>
    <w:name w:val="Grid Table 7 Colorful - Accent 3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>
    <w:name w:val="Grid Table 7 Colorful - Accent 4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>
    <w:name w:val="Grid Table 7 Colorful - Accent 5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>
    <w:name w:val="Grid Table 7 Colorful - Accent 6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>
    <w:name w:val="List Table 1 Light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List Table 1 Light - Accent 1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List Table 1 Light - Accent 2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List Table 1 Light - Accent 3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List Table 1 Light - Accent 4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List Table 1 Light - Accent 5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List Table 1 Light - Accent 6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>
    <w:name w:val="List Table 2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85">
    <w:name w:val="List Table 2 - Accent 1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86">
    <w:name w:val="List Table 2 - Accent 2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87">
    <w:name w:val="List Table 2 - Accent 3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88">
    <w:name w:val="List Table 2 - Accent 4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89">
    <w:name w:val="List Table 2 - Accent 5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90">
    <w:name w:val="List Table 2 - Accent 6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91">
    <w:name w:val="List Table 3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>
    <w:name w:val="List Table 3 - Accent 1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>
    <w:name w:val="List Table 3 - Accent 2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>
    <w:name w:val="List Table 3 - Accent 3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>
    <w:name w:val="List Table 3 - Accent 4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>
    <w:name w:val="List Table 3 - Accent 5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>
    <w:name w:val="List Table 3 - Accent 6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>
    <w:name w:val="List Table 4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>
    <w:name w:val="List Table 4 - Accent 1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>
    <w:name w:val="List Table 4 - Accent 2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>
    <w:name w:val="List Table 4 - Accent 3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>
    <w:name w:val="List Table 4 - Accent 4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>
    <w:name w:val="List Table 4 - Accent 5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>
    <w:name w:val="List Table 4 - Accent 6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>
    <w:name w:val="List Table 5 Dark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6">
    <w:name w:val="List Table 5 Dark - Accent 1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7">
    <w:name w:val="List Table 5 Dark - Accent 2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8">
    <w:name w:val="List Table 5 Dark - Accent 3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9">
    <w:name w:val="List Table 5 Dark - Accent 4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0">
    <w:name w:val="List Table 5 Dark - Accent 5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1">
    <w:name w:val="List Table 5 Dark - Accent 6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2">
    <w:name w:val="List Table 6 Colorful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13">
    <w:name w:val="List Table 6 Colorful - Accent 1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14">
    <w:name w:val="List Table 6 Colorful - Accent 2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15">
    <w:name w:val="List Table 6 Colorful - Accent 3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16">
    <w:name w:val="List Table 6 Colorful - Accent 4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17">
    <w:name w:val="List Table 6 Colorful - Accent 5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18">
    <w:name w:val="List Table 6 Colorful - Accent 6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19">
    <w:name w:val="List Table 7 Colorful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20">
    <w:name w:val="List Table 7 Colorful - Accent 1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21">
    <w:name w:val="List Table 7 Colorful - Accent 2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22">
    <w:name w:val="List Table 7 Colorful - Accent 3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23">
    <w:name w:val="List Table 7 Colorful - Accent 4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24">
    <w:name w:val="List Table 7 Colorful - Accent 5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25">
    <w:name w:val="List Table 7 Colorful - Accent 6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26">
    <w:name w:val="Lined - Accent"/>
    <w:basedOn w:val="86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27">
    <w:name w:val="Lined - Accent 1"/>
    <w:basedOn w:val="86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28">
    <w:name w:val="Lined - Accent 2"/>
    <w:basedOn w:val="86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29">
    <w:name w:val="Lined - Accent 3"/>
    <w:basedOn w:val="86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30">
    <w:name w:val="Lined - Accent 4"/>
    <w:basedOn w:val="86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31">
    <w:name w:val="Lined - Accent 5"/>
    <w:basedOn w:val="86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32">
    <w:name w:val="Lined - Accent 6"/>
    <w:basedOn w:val="86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33">
    <w:name w:val="Bordered &amp; Lined - Accent"/>
    <w:basedOn w:val="86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34">
    <w:name w:val="Bordered &amp; Lined - Accent 1"/>
    <w:basedOn w:val="86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35">
    <w:name w:val="Bordered &amp; Lined - Accent 2"/>
    <w:basedOn w:val="86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36">
    <w:name w:val="Bordered &amp; Lined - Accent 3"/>
    <w:basedOn w:val="86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37">
    <w:name w:val="Bordered &amp; Lined - Accent 4"/>
    <w:basedOn w:val="86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38">
    <w:name w:val="Bordered &amp; Lined - Accent 5"/>
    <w:basedOn w:val="86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39">
    <w:name w:val="Bordered &amp; Lined - Accent 6"/>
    <w:basedOn w:val="86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40">
    <w:name w:val="Bordered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41">
    <w:name w:val="Bordered - Accent 1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42">
    <w:name w:val="Bordered - Accent 2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43">
    <w:name w:val="Bordered - Accent 3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44">
    <w:name w:val="Bordered - Accent 4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45">
    <w:name w:val="Bordered - Accent 5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46">
    <w:name w:val="Bordered - Accent 6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47">
    <w:name w:val="footnote text"/>
    <w:basedOn w:val="864"/>
    <w:link w:val="848"/>
    <w:uiPriority w:val="99"/>
    <w:semiHidden/>
    <w:unhideWhenUsed/>
    <w:pPr>
      <w:spacing w:after="40" w:line="240" w:lineRule="auto"/>
    </w:pPr>
    <w:rPr>
      <w:sz w:val="18"/>
    </w:rPr>
  </w:style>
  <w:style w:type="character" w:styleId="848">
    <w:name w:val="Footnote Text Char"/>
    <w:link w:val="847"/>
    <w:uiPriority w:val="99"/>
    <w:rPr>
      <w:sz w:val="18"/>
    </w:rPr>
  </w:style>
  <w:style w:type="character" w:styleId="849">
    <w:name w:val="footnote reference"/>
    <w:basedOn w:val="865"/>
    <w:uiPriority w:val="99"/>
    <w:unhideWhenUsed/>
    <w:rPr>
      <w:vertAlign w:val="superscript"/>
    </w:rPr>
  </w:style>
  <w:style w:type="paragraph" w:styleId="850">
    <w:name w:val="endnote text"/>
    <w:basedOn w:val="864"/>
    <w:link w:val="851"/>
    <w:uiPriority w:val="99"/>
    <w:semiHidden/>
    <w:unhideWhenUsed/>
    <w:pPr>
      <w:spacing w:after="0" w:line="240" w:lineRule="auto"/>
    </w:pPr>
    <w:rPr>
      <w:sz w:val="20"/>
    </w:rPr>
  </w:style>
  <w:style w:type="character" w:styleId="851">
    <w:name w:val="Endnote Text Char"/>
    <w:link w:val="850"/>
    <w:uiPriority w:val="99"/>
    <w:rPr>
      <w:sz w:val="20"/>
    </w:rPr>
  </w:style>
  <w:style w:type="character" w:styleId="852">
    <w:name w:val="endnote reference"/>
    <w:basedOn w:val="865"/>
    <w:uiPriority w:val="99"/>
    <w:semiHidden/>
    <w:unhideWhenUsed/>
    <w:rPr>
      <w:vertAlign w:val="superscript"/>
    </w:rPr>
  </w:style>
  <w:style w:type="paragraph" w:styleId="853">
    <w:name w:val="toc 1"/>
    <w:basedOn w:val="864"/>
    <w:next w:val="864"/>
    <w:uiPriority w:val="39"/>
    <w:unhideWhenUsed/>
    <w:pPr>
      <w:ind w:left="0" w:right="0" w:firstLine="0"/>
      <w:spacing w:after="57"/>
    </w:pPr>
  </w:style>
  <w:style w:type="paragraph" w:styleId="854">
    <w:name w:val="toc 2"/>
    <w:basedOn w:val="864"/>
    <w:next w:val="864"/>
    <w:uiPriority w:val="39"/>
    <w:unhideWhenUsed/>
    <w:pPr>
      <w:ind w:left="283" w:right="0" w:firstLine="0"/>
      <w:spacing w:after="57"/>
    </w:pPr>
  </w:style>
  <w:style w:type="paragraph" w:styleId="855">
    <w:name w:val="toc 3"/>
    <w:basedOn w:val="864"/>
    <w:next w:val="864"/>
    <w:uiPriority w:val="39"/>
    <w:unhideWhenUsed/>
    <w:pPr>
      <w:ind w:left="567" w:right="0" w:firstLine="0"/>
      <w:spacing w:after="57"/>
    </w:pPr>
  </w:style>
  <w:style w:type="paragraph" w:styleId="856">
    <w:name w:val="toc 4"/>
    <w:basedOn w:val="864"/>
    <w:next w:val="864"/>
    <w:uiPriority w:val="39"/>
    <w:unhideWhenUsed/>
    <w:pPr>
      <w:ind w:left="850" w:right="0" w:firstLine="0"/>
      <w:spacing w:after="57"/>
    </w:pPr>
  </w:style>
  <w:style w:type="paragraph" w:styleId="857">
    <w:name w:val="toc 5"/>
    <w:basedOn w:val="864"/>
    <w:next w:val="864"/>
    <w:uiPriority w:val="39"/>
    <w:unhideWhenUsed/>
    <w:pPr>
      <w:ind w:left="1134" w:right="0" w:firstLine="0"/>
      <w:spacing w:after="57"/>
    </w:pPr>
  </w:style>
  <w:style w:type="paragraph" w:styleId="858">
    <w:name w:val="toc 6"/>
    <w:basedOn w:val="864"/>
    <w:next w:val="864"/>
    <w:uiPriority w:val="39"/>
    <w:unhideWhenUsed/>
    <w:pPr>
      <w:ind w:left="1417" w:right="0" w:firstLine="0"/>
      <w:spacing w:after="57"/>
    </w:pPr>
  </w:style>
  <w:style w:type="paragraph" w:styleId="859">
    <w:name w:val="toc 7"/>
    <w:basedOn w:val="864"/>
    <w:next w:val="864"/>
    <w:uiPriority w:val="39"/>
    <w:unhideWhenUsed/>
    <w:pPr>
      <w:ind w:left="1701" w:right="0" w:firstLine="0"/>
      <w:spacing w:after="57"/>
    </w:pPr>
  </w:style>
  <w:style w:type="paragraph" w:styleId="860">
    <w:name w:val="toc 8"/>
    <w:basedOn w:val="864"/>
    <w:next w:val="864"/>
    <w:uiPriority w:val="39"/>
    <w:unhideWhenUsed/>
    <w:pPr>
      <w:ind w:left="1984" w:right="0" w:firstLine="0"/>
      <w:spacing w:after="57"/>
    </w:pPr>
  </w:style>
  <w:style w:type="paragraph" w:styleId="861">
    <w:name w:val="toc 9"/>
    <w:basedOn w:val="864"/>
    <w:next w:val="864"/>
    <w:uiPriority w:val="39"/>
    <w:unhideWhenUsed/>
    <w:pPr>
      <w:ind w:left="2268" w:right="0" w:firstLine="0"/>
      <w:spacing w:after="57"/>
    </w:pPr>
  </w:style>
  <w:style w:type="paragraph" w:styleId="862">
    <w:name w:val="TOC Heading"/>
    <w:uiPriority w:val="39"/>
    <w:unhideWhenUsed/>
  </w:style>
  <w:style w:type="paragraph" w:styleId="863">
    <w:name w:val="table of figures"/>
    <w:basedOn w:val="864"/>
    <w:next w:val="864"/>
    <w:uiPriority w:val="99"/>
    <w:unhideWhenUsed/>
    <w:pPr>
      <w:spacing w:after="0" w:afterAutospacing="0"/>
    </w:pPr>
  </w:style>
  <w:style w:type="paragraph" w:styleId="864" w:default="1">
    <w:name w:val="Normal"/>
    <w:qFormat/>
  </w:style>
  <w:style w:type="character" w:styleId="865" w:default="1">
    <w:name w:val="Default Paragraph Font"/>
    <w:uiPriority w:val="1"/>
    <w:semiHidden/>
    <w:unhideWhenUsed/>
  </w:style>
  <w:style w:type="table" w:styleId="866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67" w:default="1">
    <w:name w:val="No List"/>
    <w:uiPriority w:val="99"/>
    <w:semiHidden/>
    <w:unhideWhenUsed/>
  </w:style>
  <w:style w:type="character" w:styleId="868" w:customStyle="1">
    <w:name w:val="blk"/>
    <w:basedOn w:val="865"/>
  </w:style>
  <w:style w:type="character" w:styleId="869" w:customStyle="1">
    <w:name w:val="b"/>
    <w:basedOn w:val="865"/>
  </w:style>
  <w:style w:type="character" w:styleId="870">
    <w:name w:val="Hyperlink"/>
    <w:basedOn w:val="865"/>
    <w:uiPriority w:val="99"/>
    <w:semiHidden/>
    <w:unhideWhenUsed/>
    <w:rPr>
      <w:color w:val="0000ff"/>
      <w:u w:val="single"/>
    </w:rPr>
  </w:style>
  <w:style w:type="paragraph" w:styleId="871">
    <w:name w:val="List Paragraph"/>
    <w:basedOn w:val="864"/>
    <w:uiPriority w:val="34"/>
    <w:qFormat/>
    <w:pPr>
      <w:contextualSpacing/>
      <w:ind w:left="720"/>
    </w:pPr>
  </w:style>
  <w:style w:type="paragraph" w:styleId="872" w:customStyle="1">
    <w:name w:val="ConsPlusNormal"/>
    <w:pPr>
      <w:spacing w:after="0" w:line="240" w:lineRule="auto"/>
      <w:widowControl w:val="off"/>
    </w:pPr>
    <w:rPr>
      <w:rFonts w:ascii="Arial" w:hAnsi="Arial" w:cs="Arial" w:eastAsiaTheme="minorEastAsia"/>
      <w:sz w:val="20"/>
      <w:szCs w:val="20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yperlink" Target="https://gosfinansy.ru/group?groupId=397156&amp;locale=ru&amp;date=2026-01-01&amp;isStatic=false&amp;pubAlias=mcfr-gf" TargetMode="External"/><Relationship Id="rId10" Type="http://schemas.openxmlformats.org/officeDocument/2006/relationships/hyperlink" Target="https://gosfinansy.ru/group?groupId=124650923&amp;locale=ru&amp;date=2026-01-01&amp;isStatic=false&amp;pubAlias=mcfr-gf" TargetMode="External"/><Relationship Id="rId11" Type="http://schemas.openxmlformats.org/officeDocument/2006/relationships/hyperlink" Target="https://gosfinansy.ru/group?groupId=6931989&amp;locale=ru&amp;date=2026-01-01&amp;isStatic=false&amp;pubAlias=mcfr-gf" TargetMode="External"/><Relationship Id="rId12" Type="http://schemas.openxmlformats.org/officeDocument/2006/relationships/hyperlink" Target="https://gosfinansy.ru/group?groupId=151&amp;locale=ru&amp;date=2026-01-01&amp;isStatic=false&amp;pubAlias=mcfr-gf" TargetMode="External"/><Relationship Id="rId13" Type="http://schemas.openxmlformats.org/officeDocument/2006/relationships/hyperlink" Target="https://gosfinansy.ru/group?groupId=21634950&amp;locale=ru&amp;date=2026-01-01&amp;isStatic=false&amp;anchor=ZAP2GLA3KC&amp;pubAlias=mcfr-gf" TargetMode="External"/><Relationship Id="rId14" Type="http://schemas.openxmlformats.org/officeDocument/2006/relationships/hyperlink" Target="https://gosfinansy.ru/group?groupId=21360420&amp;locale=ru&amp;date=2026-01-01&amp;isStatic=false&amp;anchor=XA00MCS2N3&amp;pubAlias=mcfr-gf" TargetMode="External"/><Relationship Id="rId15" Type="http://schemas.openxmlformats.org/officeDocument/2006/relationships/hyperlink" Target="https://gosfinansy.ru/group?groupId=21360419&amp;locale=ru&amp;date=2026-01-01&amp;isStatic=false&amp;pubAlias=mcfr-gf" TargetMode="External"/><Relationship Id="rId16" Type="http://schemas.openxmlformats.org/officeDocument/2006/relationships/hyperlink" Target="https://gosfinansy.ru/group?groupId=35263741&amp;locale=ru&amp;date=2026-01-01&amp;isStatic=false&amp;pubAlias=mcfr-gf" TargetMode="External"/><Relationship Id="rId17" Type="http://schemas.openxmlformats.org/officeDocument/2006/relationships/hyperlink" Target="https://gosfinansy.ru/group?groupId=48930419&amp;locale=ru&amp;date=2026-01-01&amp;isStatic=false&amp;pubAlias=mcfr-gf" TargetMode="External"/><Relationship Id="rId18" Type="http://schemas.openxmlformats.org/officeDocument/2006/relationships/hyperlink" Target="https://gosfinansy.ru/group?groupId=62536488&amp;locale=ru&amp;date=2026-01-01&amp;isStatic=false&amp;pubAlias=mcfr-gf" TargetMode="External"/><Relationship Id="rId19" Type="http://schemas.openxmlformats.org/officeDocument/2006/relationships/hyperlink" Target="https://gosfinansy.ru/group?groupId=35263427&amp;locale=ru&amp;date=2026-01-01&amp;isStatic=false&amp;pubAlias=mcfr-gf" TargetMode="External"/><Relationship Id="rId20" Type="http://schemas.openxmlformats.org/officeDocument/2006/relationships/hyperlink" Target="https://gosfinansy.ru/group?groupId=4592793&amp;locale=ru&amp;date=2026-01-01&amp;isStatic=false&amp;pubAlias=mcfr-gf" TargetMode="External"/><Relationship Id="rId21" Type="http://schemas.openxmlformats.org/officeDocument/2006/relationships/hyperlink" Target="https://gosfinansy.ru/group?groupId=82175180&amp;locale=ru&amp;date=2026-01-01&amp;isStatic=false&amp;pubAlias=mcfr-gf" TargetMode="External"/><Relationship Id="rId22" Type="http://schemas.openxmlformats.org/officeDocument/2006/relationships/hyperlink" Target="https://gosfinansy.ru/group?groupId=89950248&amp;locale=ru&amp;date=2026-01-01&amp;isStatic=false&amp;pubAlias=mcfr-gf" TargetMode="External"/><Relationship Id="rId23" Type="http://schemas.openxmlformats.org/officeDocument/2006/relationships/hyperlink" Target="https://gosfinansy.ru/group?groupId=84649983&amp;locale=ru&amp;date=2026-01-01&amp;isStatic=false&amp;pubAlias=mcfr-gf" TargetMode="External"/><Relationship Id="rId24" Type="http://schemas.openxmlformats.org/officeDocument/2006/relationships/hyperlink" Target="https://gosfinansy.ru/group?groupId=84649984&amp;locale=ru&amp;date=2026-01-01&amp;isStatic=false&amp;pubAlias=mcfr-gf" TargetMode="External"/><Relationship Id="rId25" Type="http://schemas.openxmlformats.org/officeDocument/2006/relationships/hyperlink" Target="https://gosfinansy.ru/group?groupId=98303161&amp;locale=ru&amp;date=2026-01-01&amp;isStatic=false&amp;pubAlias=mcfr-gf" TargetMode="External"/><Relationship Id="rId26" Type="http://schemas.openxmlformats.org/officeDocument/2006/relationships/hyperlink" Target="https://gosfinansy.ru/group?groupId=5873001&amp;locale=ru&amp;date=2026-01-01&amp;isStatic=false&amp;pubAlias=mcfr-gf" TargetMode="External"/><Relationship Id="rId27" Type="http://schemas.openxmlformats.org/officeDocument/2006/relationships/hyperlink" Target="https://gosfinansy.ru/group?groupId=118654939&amp;locale=ru&amp;date=2026-01-01&amp;isStatic=false&amp;pubAlias=mcfr-gf" TargetMode="External"/><Relationship Id="rId28" Type="http://schemas.openxmlformats.org/officeDocument/2006/relationships/hyperlink" Target="https://gosfinansy.ru/group?groupId=102979646&amp;locale=ru&amp;date=2026-01-01&amp;isStatic=false&amp;pubAlias=mcfr-gf" TargetMode="External"/><Relationship Id="rId29" Type="http://schemas.openxmlformats.org/officeDocument/2006/relationships/hyperlink" Target="https://gosfinansy.ru/group?groupId=102979652&amp;locale=ru&amp;date=2026-01-01&amp;isStatic=false&amp;pubAlias=mcfr-gf" TargetMode="External"/><Relationship Id="rId30" Type="http://schemas.openxmlformats.org/officeDocument/2006/relationships/hyperlink" Target="https://gosfinansy.ru/group?groupId=89950238&amp;locale=ru&amp;date=2026-01-01&amp;isStatic=false&amp;pubAlias=mcfr-gf" TargetMode="External"/><Relationship Id="rId31" Type="http://schemas.openxmlformats.org/officeDocument/2006/relationships/hyperlink" Target="https://gosfinansy.ru/group?groupId=21634950&amp;locale=ru&amp;date=2026-01-01&amp;isStatic=false&amp;pubAlias=mcfr-gf" TargetMode="External"/><Relationship Id="rId32" Type="http://schemas.openxmlformats.org/officeDocument/2006/relationships/hyperlink" Target="https://gosfinansy.ru/group?groupId=62536488&amp;locale=ru&amp;date=2026-01-01&amp;isStatic=false&amp;anchor=XA00LUO2M6&amp;pubAlias=mcfr-gf" TargetMode="External"/><Relationship Id="rId33" Type="http://schemas.openxmlformats.org/officeDocument/2006/relationships/hyperlink" Target="https://gosfinansy.ru/group?groupId=125467&amp;locale=ru&amp;date=2026-01-01&amp;isStatic=true&amp;anchor=XA00M5Q2MD&amp;pubAlias=mcfr-gf" TargetMode="External"/><Relationship Id="rId34" Type="http://schemas.openxmlformats.org/officeDocument/2006/relationships/hyperlink" Target="https://gosfinansy.ru/group?groupId=21297389&amp;locale=ru&amp;date=2026-01-01&amp;isStatic=false&amp;pubAlias=mcfr-gf" TargetMode="External"/><Relationship Id="rId35" Type="http://schemas.openxmlformats.org/officeDocument/2006/relationships/hyperlink" Target="https://gosfinansy.ru/group?groupId=136&amp;locale=ru&amp;date=2026-01-01&amp;isStatic=false&amp;pubAlias=mcfr-gf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Р7-Офис/2024.2.1.466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revision>6</cp:revision>
  <dcterms:created xsi:type="dcterms:W3CDTF">2023-06-21T12:57:00Z</dcterms:created>
  <dcterms:modified xsi:type="dcterms:W3CDTF">2026-03-30T12:38:31Z</dcterms:modified>
</cp:coreProperties>
</file>